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81" w:rsidRPr="009F7881" w:rsidRDefault="009F7881" w:rsidP="009F7881">
      <w:pPr>
        <w:jc w:val="center"/>
        <w:rPr>
          <w:b/>
          <w:szCs w:val="20"/>
          <w:lang w:eastAsia="ru-RU"/>
        </w:rPr>
      </w:pPr>
      <w:r w:rsidRPr="009F7881">
        <w:rPr>
          <w:b/>
        </w:rPr>
        <w:t>Разработка среднесрочного прогноза развития регионов ПФО</w:t>
      </w:r>
    </w:p>
    <w:p w:rsidR="009F7881" w:rsidRPr="009F7881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Ключевыми задачами оценки социально-экономической привлекательности регионов является выявление основополагающих тенденций, определяющих динамику их развития, а также разработка стратегий, включающих в себя меры по поддержанию и сохранению положительной траектории экономического развития, либо меры, направленные на преодоление сформировавшихся негативных тенденций.</w:t>
      </w:r>
    </w:p>
    <w:p w:rsidR="009F7881" w:rsidRPr="006F5833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Разработка </w:t>
      </w:r>
      <w:proofErr w:type="gramStart"/>
      <w:r w:rsidRPr="006F5833">
        <w:rPr>
          <w:szCs w:val="20"/>
          <w:lang w:eastAsia="ru-RU"/>
        </w:rPr>
        <w:t>стратегии повышения эффективности реализации социально-экономического потенциала регионов</w:t>
      </w:r>
      <w:proofErr w:type="gramEnd"/>
      <w:r w:rsidRPr="006F5833">
        <w:rPr>
          <w:szCs w:val="20"/>
          <w:lang w:eastAsia="ru-RU"/>
        </w:rPr>
        <w:t xml:space="preserve"> должна опираться на прогностические модели, раскрывающие характер и возможную динамику основных макроэкономических показателей на средне- и долгосрочную перспективу.</w:t>
      </w:r>
    </w:p>
    <w:p w:rsidR="009F7881" w:rsidRDefault="009F7881" w:rsidP="009F7881">
      <w:pPr>
        <w:jc w:val="both"/>
        <w:rPr>
          <w:szCs w:val="20"/>
          <w:lang w:val="en-US" w:eastAsia="ru-RU"/>
        </w:rPr>
      </w:pPr>
      <w:r w:rsidRPr="006F5833">
        <w:rPr>
          <w:szCs w:val="20"/>
          <w:lang w:eastAsia="ru-RU"/>
        </w:rPr>
        <w:t xml:space="preserve">В данной работе предпринимается попытка построения прогнозной модели, оценивающей динамику социально-экономической </w:t>
      </w:r>
      <w:r w:rsidRPr="005A769E">
        <w:rPr>
          <w:szCs w:val="20"/>
          <w:lang w:eastAsia="ru-RU"/>
        </w:rPr>
        <w:t xml:space="preserve">привлекательности регионов Приволжского федерального округа на период до 2020 года. </w:t>
      </w:r>
    </w:p>
    <w:p w:rsidR="009F7881" w:rsidRPr="006F5833" w:rsidRDefault="009F7881" w:rsidP="009F7881">
      <w:pPr>
        <w:jc w:val="both"/>
        <w:rPr>
          <w:szCs w:val="28"/>
          <w:lang w:eastAsia="ru-RU"/>
        </w:rPr>
      </w:pPr>
      <w:r w:rsidRPr="006F5833">
        <w:rPr>
          <w:szCs w:val="28"/>
          <w:lang w:eastAsia="ru-RU"/>
        </w:rPr>
        <w:t xml:space="preserve">Для определения </w:t>
      </w:r>
      <w:r w:rsidRPr="006F5833">
        <w:rPr>
          <w:szCs w:val="20"/>
          <w:lang w:eastAsia="ru-RU"/>
        </w:rPr>
        <w:t>социально-экономической привлекательности</w:t>
      </w:r>
      <w:r w:rsidRPr="006F5833">
        <w:rPr>
          <w:szCs w:val="28"/>
          <w:lang w:eastAsia="ru-RU"/>
        </w:rPr>
        <w:t xml:space="preserve"> отдельного региона строится конкретная система показателей. В общем виде система показателей представляет собой совокупность комплексных и единичных параметров, характеризующих уровень социально-экономической привлекательности. </w:t>
      </w:r>
    </w:p>
    <w:p w:rsidR="009F7881" w:rsidRPr="006F5833" w:rsidRDefault="009F7881" w:rsidP="009F7881">
      <w:pPr>
        <w:jc w:val="both"/>
        <w:rPr>
          <w:szCs w:val="28"/>
          <w:lang w:eastAsia="ru-RU"/>
        </w:rPr>
      </w:pPr>
      <w:r w:rsidRPr="006F5833">
        <w:rPr>
          <w:szCs w:val="28"/>
          <w:lang w:eastAsia="ru-RU"/>
        </w:rPr>
        <w:t xml:space="preserve"> Существенно, что параметры </w:t>
      </w:r>
      <w:r w:rsidRPr="006F5833">
        <w:rPr>
          <w:szCs w:val="20"/>
          <w:lang w:eastAsia="ru-RU"/>
        </w:rPr>
        <w:t>социально-экономической привлекательности</w:t>
      </w:r>
      <w:r w:rsidRPr="006F5833">
        <w:rPr>
          <w:szCs w:val="28"/>
          <w:lang w:eastAsia="ru-RU"/>
        </w:rPr>
        <w:t xml:space="preserve"> отдельного региона, входящие в систему показателей, должны включать измеримые (объективные) и неизмеримые (субъективные) данные. </w:t>
      </w:r>
    </w:p>
    <w:p w:rsidR="009F7881" w:rsidRPr="006F5833" w:rsidRDefault="009F7881" w:rsidP="009F7881">
      <w:pPr>
        <w:jc w:val="both"/>
        <w:rPr>
          <w:szCs w:val="28"/>
          <w:lang w:eastAsia="ru-RU"/>
        </w:rPr>
      </w:pPr>
      <w:r w:rsidRPr="006F5833">
        <w:rPr>
          <w:szCs w:val="28"/>
          <w:lang w:eastAsia="ru-RU"/>
        </w:rPr>
        <w:t>Для определения значений измеримых показателей используются в основном инструментальный, расчетный и статистический методы. Для качественных описаний неизмеримых показателей социал</w:t>
      </w:r>
      <w:r w:rsidRPr="006F5833">
        <w:rPr>
          <w:szCs w:val="20"/>
          <w:lang w:eastAsia="ru-RU"/>
        </w:rPr>
        <w:t xml:space="preserve">ьно-экономической </w:t>
      </w:r>
      <w:r w:rsidRPr="006F5833">
        <w:rPr>
          <w:szCs w:val="20"/>
          <w:lang w:eastAsia="ru-RU"/>
        </w:rPr>
        <w:lastRenderedPageBreak/>
        <w:t xml:space="preserve">привлекательности региона </w:t>
      </w:r>
      <w:r w:rsidRPr="006F5833">
        <w:rPr>
          <w:szCs w:val="28"/>
          <w:lang w:eastAsia="ru-RU"/>
        </w:rPr>
        <w:t xml:space="preserve">применяются социологический и экспертный методы. </w:t>
      </w:r>
    </w:p>
    <w:p w:rsidR="009F7881" w:rsidRPr="006F5833" w:rsidRDefault="009F7881" w:rsidP="009F7881">
      <w:pPr>
        <w:jc w:val="both"/>
        <w:rPr>
          <w:szCs w:val="28"/>
          <w:lang w:eastAsia="ru-RU"/>
        </w:rPr>
      </w:pPr>
      <w:proofErr w:type="gramStart"/>
      <w:r w:rsidRPr="006F5833">
        <w:rPr>
          <w:szCs w:val="28"/>
          <w:lang w:eastAsia="ru-RU"/>
        </w:rPr>
        <w:t>В соответствии с вышеизложенным</w:t>
      </w:r>
      <w:r>
        <w:rPr>
          <w:szCs w:val="28"/>
          <w:lang w:eastAsia="ru-RU"/>
        </w:rPr>
        <w:t>,</w:t>
      </w:r>
      <w:r w:rsidRPr="006F5833">
        <w:rPr>
          <w:szCs w:val="28"/>
          <w:lang w:eastAsia="ru-RU"/>
        </w:rPr>
        <w:t xml:space="preserve"> нами представлены методологические подходы к обоснованию интегрального показателя социально-экономической привлекательности региона, дано его определение, теоретически обоснованы показатели, включаемые  в его состав, а также выявлены факторы, влияющие на индекс социал</w:t>
      </w:r>
      <w:r w:rsidRPr="006F5833">
        <w:rPr>
          <w:szCs w:val="20"/>
          <w:lang w:eastAsia="ru-RU"/>
        </w:rPr>
        <w:t>ьно-экономической привлекательности региона</w:t>
      </w:r>
      <w:r w:rsidRPr="006F5833">
        <w:rPr>
          <w:szCs w:val="28"/>
          <w:lang w:eastAsia="ru-RU"/>
        </w:rPr>
        <w:t>, что нашло комплексное отражение в экономико-математической модели, представленной нами в следующем параграфе исследования.</w:t>
      </w:r>
      <w:proofErr w:type="gramEnd"/>
    </w:p>
    <w:p w:rsidR="009F7881" w:rsidRPr="006F5833" w:rsidRDefault="009F7881" w:rsidP="009F7881">
      <w:pPr>
        <w:jc w:val="both"/>
        <w:rPr>
          <w:szCs w:val="28"/>
          <w:lang w:eastAsia="ru-RU"/>
        </w:rPr>
      </w:pPr>
      <w:r w:rsidRPr="006F5833">
        <w:rPr>
          <w:szCs w:val="28"/>
          <w:lang w:eastAsia="ru-RU"/>
        </w:rPr>
        <w:t>С целью решения задачи определения количественно измеряемых индикативных показателей социал</w:t>
      </w:r>
      <w:r w:rsidRPr="006F5833">
        <w:rPr>
          <w:szCs w:val="20"/>
          <w:lang w:eastAsia="ru-RU"/>
        </w:rPr>
        <w:t>ьно-экономической привлекательности региона</w:t>
      </w:r>
      <w:r w:rsidRPr="006F5833">
        <w:rPr>
          <w:szCs w:val="28"/>
          <w:lang w:eastAsia="ru-RU"/>
        </w:rPr>
        <w:t>, на основании комплексного многомерного исследования были выделены 12 блоков факторов, оказывающих наиболее сильное влияние на ее уровень.</w:t>
      </w:r>
    </w:p>
    <w:p w:rsidR="009F7881" w:rsidRPr="006F5833" w:rsidRDefault="009F7881" w:rsidP="009F7881">
      <w:pPr>
        <w:numPr>
          <w:ilvl w:val="0"/>
          <w:numId w:val="2"/>
        </w:numPr>
        <w:contextualSpacing/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Уровень развития транспортной инфраструктуры.</w:t>
      </w:r>
    </w:p>
    <w:p w:rsidR="009F7881" w:rsidRPr="006F5833" w:rsidRDefault="009F7881" w:rsidP="009F7881">
      <w:pPr>
        <w:numPr>
          <w:ilvl w:val="0"/>
          <w:numId w:val="2"/>
        </w:numPr>
        <w:contextualSpacing/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Демографический потенциал регионов.</w:t>
      </w:r>
    </w:p>
    <w:p w:rsidR="009F7881" w:rsidRPr="006F5833" w:rsidRDefault="009F7881" w:rsidP="009F7881">
      <w:pPr>
        <w:numPr>
          <w:ilvl w:val="0"/>
          <w:numId w:val="2"/>
        </w:numPr>
        <w:contextualSpacing/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Степень развития трудовых ресурсов.</w:t>
      </w:r>
    </w:p>
    <w:p w:rsidR="009F7881" w:rsidRPr="006F5833" w:rsidRDefault="009F7881" w:rsidP="009F7881">
      <w:pPr>
        <w:numPr>
          <w:ilvl w:val="0"/>
          <w:numId w:val="2"/>
        </w:numPr>
        <w:contextualSpacing/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Развитие информационно-коммуникационных технологий.</w:t>
      </w:r>
    </w:p>
    <w:p w:rsidR="009F7881" w:rsidRPr="006F5833" w:rsidRDefault="009F7881" w:rsidP="009F7881">
      <w:pPr>
        <w:numPr>
          <w:ilvl w:val="0"/>
          <w:numId w:val="2"/>
        </w:numPr>
        <w:contextualSpacing/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Сельскохозяйственный потенциал; </w:t>
      </w:r>
    </w:p>
    <w:p w:rsidR="009F7881" w:rsidRPr="006F5833" w:rsidRDefault="009F7881" w:rsidP="009F7881">
      <w:pPr>
        <w:numPr>
          <w:ilvl w:val="0"/>
          <w:numId w:val="2"/>
        </w:numPr>
        <w:contextualSpacing/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Промышленный потенциал.</w:t>
      </w:r>
    </w:p>
    <w:p w:rsidR="009F7881" w:rsidRPr="006F5833" w:rsidRDefault="009F7881" w:rsidP="009F7881">
      <w:pPr>
        <w:numPr>
          <w:ilvl w:val="0"/>
          <w:numId w:val="2"/>
        </w:numPr>
        <w:contextualSpacing/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Степень развития энергетического комплекса</w:t>
      </w:r>
    </w:p>
    <w:p w:rsidR="009F7881" w:rsidRPr="006F5833" w:rsidRDefault="009F7881" w:rsidP="009F7881">
      <w:pPr>
        <w:numPr>
          <w:ilvl w:val="0"/>
          <w:numId w:val="2"/>
        </w:numPr>
        <w:contextualSpacing/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Уровень развития рыночной инфраструктуры.</w:t>
      </w:r>
    </w:p>
    <w:p w:rsidR="009F7881" w:rsidRPr="006F5833" w:rsidRDefault="009F7881" w:rsidP="009F7881">
      <w:pPr>
        <w:numPr>
          <w:ilvl w:val="0"/>
          <w:numId w:val="2"/>
        </w:numPr>
        <w:contextualSpacing/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Инвестиционная привлекательность</w:t>
      </w:r>
    </w:p>
    <w:p w:rsidR="009F7881" w:rsidRPr="006F5833" w:rsidRDefault="009F7881" w:rsidP="009F7881">
      <w:pPr>
        <w:numPr>
          <w:ilvl w:val="0"/>
          <w:numId w:val="2"/>
        </w:numPr>
        <w:contextualSpacing/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Научно-образовательный потенциал; </w:t>
      </w:r>
    </w:p>
    <w:p w:rsidR="009F7881" w:rsidRPr="006F5833" w:rsidRDefault="009F7881" w:rsidP="009F7881">
      <w:pPr>
        <w:numPr>
          <w:ilvl w:val="0"/>
          <w:numId w:val="2"/>
        </w:numPr>
        <w:contextualSpacing/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Криминогенный фактор.</w:t>
      </w:r>
    </w:p>
    <w:p w:rsidR="009F7881" w:rsidRPr="006F5833" w:rsidRDefault="009F7881" w:rsidP="009F7881">
      <w:pPr>
        <w:numPr>
          <w:ilvl w:val="0"/>
          <w:numId w:val="2"/>
        </w:numPr>
        <w:contextualSpacing/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Степень экологического благополучия. </w:t>
      </w:r>
    </w:p>
    <w:p w:rsidR="009F7881" w:rsidRPr="006F5833" w:rsidRDefault="009F7881" w:rsidP="009F7881">
      <w:pPr>
        <w:ind w:firstLine="851"/>
        <w:contextualSpacing/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Данная группа индикаторов находят отражение в интегральных показателях. </w:t>
      </w:r>
    </w:p>
    <w:p w:rsidR="009F7881" w:rsidRDefault="009F7881" w:rsidP="009F7881">
      <w:pPr>
        <w:jc w:val="both"/>
        <w:rPr>
          <w:szCs w:val="28"/>
          <w:lang w:val="en-US" w:eastAsia="ru-RU"/>
        </w:rPr>
      </w:pPr>
      <w:r w:rsidRPr="006F5833">
        <w:rPr>
          <w:szCs w:val="28"/>
          <w:lang w:eastAsia="ru-RU"/>
        </w:rPr>
        <w:lastRenderedPageBreak/>
        <w:t>Для количественной оценки уровня социал</w:t>
      </w:r>
      <w:r w:rsidRPr="006F5833">
        <w:rPr>
          <w:szCs w:val="20"/>
          <w:lang w:eastAsia="ru-RU"/>
        </w:rPr>
        <w:t>ьно-экономической привлекательности регионов ПФО</w:t>
      </w:r>
      <w:r w:rsidRPr="006F5833">
        <w:rPr>
          <w:szCs w:val="28"/>
          <w:lang w:eastAsia="ru-RU"/>
        </w:rPr>
        <w:t xml:space="preserve"> по каждому блоку факторов на основании проведенного исследования были определены индикативные показатели </w:t>
      </w:r>
      <w:r w:rsidRPr="003C03A6">
        <w:rPr>
          <w:szCs w:val="28"/>
          <w:lang w:eastAsia="ru-RU"/>
        </w:rPr>
        <w:t xml:space="preserve">(таблица </w:t>
      </w:r>
      <w:r w:rsidR="00A51210">
        <w:rPr>
          <w:szCs w:val="28"/>
          <w:lang w:eastAsia="ru-RU"/>
        </w:rPr>
        <w:t>1</w:t>
      </w:r>
      <w:r w:rsidRPr="003C03A6">
        <w:rPr>
          <w:szCs w:val="28"/>
          <w:lang w:eastAsia="ru-RU"/>
        </w:rPr>
        <w:t>.1</w:t>
      </w:r>
      <w:r w:rsidRPr="006F5833">
        <w:rPr>
          <w:szCs w:val="28"/>
          <w:lang w:eastAsia="ru-RU"/>
        </w:rPr>
        <w:t>). Выбор критериев для построения интегрального показателя (индекса) социал</w:t>
      </w:r>
      <w:r w:rsidRPr="006F5833">
        <w:rPr>
          <w:szCs w:val="20"/>
          <w:lang w:eastAsia="ru-RU"/>
        </w:rPr>
        <w:t>ьно-экономической привлекательности регионов</w:t>
      </w:r>
      <w:r w:rsidRPr="006F5833">
        <w:rPr>
          <w:szCs w:val="28"/>
          <w:lang w:eastAsia="ru-RU"/>
        </w:rPr>
        <w:t xml:space="preserve"> осуществлялся из доступной статистической базы. Система показателей не содержит экспертных показателей или показателей, основанных на результатах опросов экономических хозяйствующих субъектов.</w:t>
      </w:r>
    </w:p>
    <w:p w:rsidR="009F7881" w:rsidRPr="006F5833" w:rsidRDefault="009F7881" w:rsidP="009F7881">
      <w:pPr>
        <w:jc w:val="both"/>
        <w:rPr>
          <w:szCs w:val="20"/>
          <w:lang w:eastAsia="ru-RU"/>
        </w:rPr>
      </w:pPr>
      <w:r w:rsidRPr="005A769E">
        <w:rPr>
          <w:szCs w:val="20"/>
          <w:lang w:eastAsia="ru-RU"/>
        </w:rPr>
        <w:t>Разработанный в работе методический инструментарий анализа факторов</w:t>
      </w:r>
      <w:r w:rsidRPr="006F5833">
        <w:rPr>
          <w:szCs w:val="20"/>
          <w:lang w:eastAsia="ru-RU"/>
        </w:rPr>
        <w:t xml:space="preserve"> социально-экономической привлекательности на основе оценки значений уровня интегральных показателей, позволяет разрабатывать различные сценарии регионального развития с учетом программирования динамики того или иного фактора. При этом </w:t>
      </w:r>
      <w:proofErr w:type="gramStart"/>
      <w:r w:rsidRPr="006F5833">
        <w:rPr>
          <w:szCs w:val="20"/>
          <w:lang w:eastAsia="ru-RU"/>
        </w:rPr>
        <w:t>следует сразу оговорится</w:t>
      </w:r>
      <w:proofErr w:type="gramEnd"/>
      <w:r w:rsidRPr="006F5833">
        <w:rPr>
          <w:szCs w:val="20"/>
          <w:lang w:eastAsia="ru-RU"/>
        </w:rPr>
        <w:t>, что в данной работе в качестве основополагающего сценария был принят сценарий, предусматривающий инерционность развития факторов, определяющих конкурентоспособность регионов ПФО. К данным факторам относятся: уровень развития транспортной инфраструктуры; демографический потенциал регионов; степень развития трудовых ресурсов</w:t>
      </w:r>
      <w:r>
        <w:rPr>
          <w:szCs w:val="20"/>
          <w:lang w:eastAsia="ru-RU"/>
        </w:rPr>
        <w:t>;</w:t>
      </w:r>
      <w:r w:rsidRPr="006F5833">
        <w:rPr>
          <w:szCs w:val="20"/>
          <w:lang w:eastAsia="ru-RU"/>
        </w:rPr>
        <w:t xml:space="preserve"> развитие информационно-коммуникационных технологий; сельскохозяйственный потенциал; промышленный потенциал; степень развития энергетического комплекса; уровень развития рыночной инфраструктуры; инвестиционная привлекательность; научно-образовательный потенциал; криминогенный фактор; степень экологического благополучия.</w:t>
      </w:r>
    </w:p>
    <w:p w:rsidR="009F7881" w:rsidRPr="009F7881" w:rsidRDefault="009F7881" w:rsidP="009F7881">
      <w:pPr>
        <w:jc w:val="both"/>
        <w:rPr>
          <w:szCs w:val="28"/>
          <w:lang w:eastAsia="ru-RU"/>
        </w:rPr>
      </w:pPr>
    </w:p>
    <w:p w:rsidR="009F7881" w:rsidRPr="009F7881" w:rsidRDefault="009F7881" w:rsidP="009F7881">
      <w:pPr>
        <w:ind w:firstLine="851"/>
        <w:jc w:val="both"/>
        <w:rPr>
          <w:szCs w:val="20"/>
          <w:lang w:eastAsia="ru-RU"/>
        </w:rPr>
      </w:pPr>
    </w:p>
    <w:p w:rsidR="009F7881" w:rsidRPr="009F7881" w:rsidRDefault="009F7881" w:rsidP="009F7881">
      <w:pPr>
        <w:ind w:firstLine="851"/>
        <w:jc w:val="both"/>
        <w:rPr>
          <w:szCs w:val="20"/>
          <w:lang w:eastAsia="ru-RU"/>
        </w:rPr>
        <w:sectPr w:rsidR="009F7881" w:rsidRPr="009F7881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881" w:rsidRPr="006F5833" w:rsidRDefault="009F7881" w:rsidP="009F7881">
      <w:pPr>
        <w:ind w:firstLine="0"/>
        <w:jc w:val="right"/>
        <w:rPr>
          <w:szCs w:val="28"/>
          <w:lang w:eastAsia="ru-RU"/>
        </w:rPr>
      </w:pPr>
      <w:r w:rsidRPr="006F5833">
        <w:rPr>
          <w:szCs w:val="28"/>
          <w:lang w:eastAsia="ru-RU"/>
        </w:rPr>
        <w:lastRenderedPageBreak/>
        <w:t xml:space="preserve">Таблица </w:t>
      </w:r>
      <w:r w:rsidR="00A51210">
        <w:rPr>
          <w:szCs w:val="28"/>
          <w:lang w:eastAsia="ru-RU"/>
        </w:rPr>
        <w:t>1</w:t>
      </w:r>
      <w:r w:rsidRPr="006F5833">
        <w:rPr>
          <w:szCs w:val="28"/>
          <w:lang w:eastAsia="ru-RU"/>
        </w:rPr>
        <w:t>.</w:t>
      </w:r>
      <w:r>
        <w:rPr>
          <w:szCs w:val="28"/>
          <w:lang w:eastAsia="ru-RU"/>
        </w:rPr>
        <w:t>1</w:t>
      </w:r>
    </w:p>
    <w:p w:rsidR="009F7881" w:rsidRPr="006F5833" w:rsidRDefault="009F7881" w:rsidP="009F7881">
      <w:pPr>
        <w:spacing w:line="240" w:lineRule="auto"/>
        <w:ind w:right="-31" w:firstLine="0"/>
        <w:jc w:val="center"/>
        <w:rPr>
          <w:szCs w:val="28"/>
          <w:lang w:eastAsia="ru-RU"/>
        </w:rPr>
      </w:pPr>
      <w:r w:rsidRPr="006F5833">
        <w:rPr>
          <w:szCs w:val="28"/>
          <w:lang w:eastAsia="ru-RU"/>
        </w:rPr>
        <w:t>Система показателей для определения индекса социально-экономической привлекательности региона</w:t>
      </w:r>
    </w:p>
    <w:tbl>
      <w:tblPr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6"/>
        <w:gridCol w:w="11916"/>
      </w:tblGrid>
      <w:tr w:rsidR="009F7881" w:rsidRPr="00B4216D" w:rsidTr="003F78FD">
        <w:trPr>
          <w:trHeight w:val="435"/>
        </w:trPr>
        <w:tc>
          <w:tcPr>
            <w:tcW w:w="3396" w:type="dxa"/>
          </w:tcPr>
          <w:p w:rsidR="009F7881" w:rsidRPr="00B4216D" w:rsidRDefault="009F7881" w:rsidP="003F78FD">
            <w:pPr>
              <w:spacing w:line="240" w:lineRule="auto"/>
              <w:ind w:left="284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4216D">
              <w:rPr>
                <w:b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11916" w:type="dxa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B4216D">
              <w:rPr>
                <w:sz w:val="20"/>
                <w:szCs w:val="20"/>
                <w:lang w:eastAsia="ru-RU"/>
              </w:rPr>
              <w:t>Показатели социально-экономической привлекательности региона</w:t>
            </w:r>
          </w:p>
        </w:tc>
      </w:tr>
      <w:tr w:rsidR="009F7881" w:rsidRPr="00B4216D" w:rsidTr="003F78FD">
        <w:trPr>
          <w:trHeight w:val="747"/>
        </w:trPr>
        <w:tc>
          <w:tcPr>
            <w:tcW w:w="3396" w:type="dxa"/>
          </w:tcPr>
          <w:p w:rsidR="009F7881" w:rsidRPr="00B4216D" w:rsidRDefault="009F7881" w:rsidP="003F78FD">
            <w:pPr>
              <w:numPr>
                <w:ilvl w:val="0"/>
                <w:numId w:val="1"/>
              </w:num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  <w:r w:rsidRPr="00B4216D">
              <w:rPr>
                <w:b/>
                <w:sz w:val="24"/>
                <w:szCs w:val="20"/>
                <w:lang w:eastAsia="ru-RU"/>
              </w:rPr>
              <w:t>Уровень развития транспортной инфраструктуры</w:t>
            </w:r>
          </w:p>
        </w:tc>
        <w:tc>
          <w:tcPr>
            <w:tcW w:w="11916" w:type="dxa"/>
          </w:tcPr>
          <w:p w:rsidR="009F7881" w:rsidRPr="006F5833" w:rsidRDefault="009F7881" w:rsidP="003F78FD">
            <w:pPr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contextualSpacing/>
              <w:jc w:val="both"/>
              <w:rPr>
                <w:sz w:val="24"/>
                <w:szCs w:val="20"/>
                <w:lang w:eastAsia="ru-RU"/>
              </w:rPr>
            </w:pPr>
            <w:r w:rsidRPr="006F5833">
              <w:rPr>
                <w:sz w:val="24"/>
                <w:szCs w:val="20"/>
                <w:lang w:eastAsia="ru-RU"/>
              </w:rPr>
              <w:t>Плотность железнодорожных путей общего пользования, километров путей на 10000 квадратных километров территории</w:t>
            </w:r>
          </w:p>
          <w:p w:rsidR="009F7881" w:rsidRPr="006F5833" w:rsidRDefault="009F7881" w:rsidP="003F78FD">
            <w:pPr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contextualSpacing/>
              <w:jc w:val="both"/>
              <w:rPr>
                <w:sz w:val="24"/>
                <w:szCs w:val="20"/>
                <w:lang w:eastAsia="ru-RU"/>
              </w:rPr>
            </w:pPr>
            <w:r w:rsidRPr="006F5833">
              <w:rPr>
                <w:sz w:val="24"/>
                <w:szCs w:val="20"/>
                <w:lang w:eastAsia="ru-RU"/>
              </w:rPr>
              <w:t>Плотность автомобильных дорог общего пользования с твердым покрытием</w:t>
            </w:r>
          </w:p>
          <w:p w:rsidR="009F7881" w:rsidRPr="006F5833" w:rsidRDefault="009F7881" w:rsidP="003F78FD">
            <w:pPr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contextualSpacing/>
              <w:jc w:val="both"/>
              <w:rPr>
                <w:sz w:val="24"/>
                <w:szCs w:val="20"/>
                <w:lang w:eastAsia="ru-RU"/>
              </w:rPr>
            </w:pPr>
            <w:r w:rsidRPr="006F5833">
              <w:rPr>
                <w:sz w:val="24"/>
                <w:szCs w:val="20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  <w:p w:rsidR="009F7881" w:rsidRPr="00F64A8E" w:rsidRDefault="009F7881" w:rsidP="003F78FD">
            <w:pPr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contextualSpacing/>
              <w:jc w:val="both"/>
              <w:rPr>
                <w:sz w:val="24"/>
                <w:szCs w:val="20"/>
                <w:lang w:eastAsia="ru-RU"/>
              </w:rPr>
            </w:pPr>
            <w:r w:rsidRPr="006F5833">
              <w:rPr>
                <w:sz w:val="24"/>
                <w:szCs w:val="20"/>
                <w:lang w:eastAsia="ru-RU"/>
              </w:rPr>
              <w:t>Удельный вес автомобильных дорог с усовершенствованным покрытием в общей протяженности автомобильных дорог с твердым покрытием общего пользования</w:t>
            </w:r>
          </w:p>
        </w:tc>
      </w:tr>
      <w:tr w:rsidR="009F7881" w:rsidRPr="00B4216D" w:rsidTr="003F78FD">
        <w:trPr>
          <w:trHeight w:val="489"/>
        </w:trPr>
        <w:tc>
          <w:tcPr>
            <w:tcW w:w="3396" w:type="dxa"/>
          </w:tcPr>
          <w:p w:rsidR="009F7881" w:rsidRPr="00B4216D" w:rsidRDefault="009F7881" w:rsidP="003F78FD">
            <w:pPr>
              <w:numPr>
                <w:ilvl w:val="0"/>
                <w:numId w:val="1"/>
              </w:num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  <w:r w:rsidRPr="00B4216D">
              <w:rPr>
                <w:b/>
                <w:sz w:val="24"/>
                <w:szCs w:val="20"/>
                <w:lang w:eastAsia="ru-RU"/>
              </w:rPr>
              <w:t>Демографический потенциал</w:t>
            </w:r>
          </w:p>
        </w:tc>
        <w:tc>
          <w:tcPr>
            <w:tcW w:w="11916" w:type="dxa"/>
          </w:tcPr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Удельный вес городского населения в общей численности населения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Коэффициент естественного прироста населения (на 1000 человек населения)</w:t>
            </w:r>
          </w:p>
        </w:tc>
      </w:tr>
      <w:tr w:rsidR="009F7881" w:rsidRPr="00B4216D" w:rsidTr="003F78FD">
        <w:trPr>
          <w:trHeight w:val="1620"/>
        </w:trPr>
        <w:tc>
          <w:tcPr>
            <w:tcW w:w="3396" w:type="dxa"/>
          </w:tcPr>
          <w:p w:rsidR="009F7881" w:rsidRPr="00B4216D" w:rsidRDefault="009F7881" w:rsidP="003F78FD">
            <w:pPr>
              <w:numPr>
                <w:ilvl w:val="0"/>
                <w:numId w:val="1"/>
              </w:num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  <w:r w:rsidRPr="00B4216D">
              <w:rPr>
                <w:b/>
                <w:sz w:val="24"/>
                <w:szCs w:val="20"/>
                <w:lang w:eastAsia="ru-RU"/>
              </w:rPr>
              <w:t>Степень развития трудовых ресурсов</w:t>
            </w:r>
          </w:p>
          <w:p w:rsidR="009F7881" w:rsidRPr="00B4216D" w:rsidRDefault="009F7881" w:rsidP="003F78FD">
            <w:p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11916" w:type="dxa"/>
          </w:tcPr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Среднегодовая численность занятых в экономике, тысяч человек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Коэффициент миграционного прироста (на 10 000 человек населения)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Уровень экономической активности населения (в процентах)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Уровень безработицы</w:t>
            </w:r>
          </w:p>
          <w:p w:rsidR="009F7881" w:rsidRPr="00F64A8E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Численность иностранных граждан, осуществляющих трудовую деятельность в России</w:t>
            </w:r>
          </w:p>
        </w:tc>
      </w:tr>
      <w:tr w:rsidR="009F7881" w:rsidRPr="00B4216D" w:rsidTr="003F78FD">
        <w:trPr>
          <w:trHeight w:val="1218"/>
        </w:trPr>
        <w:tc>
          <w:tcPr>
            <w:tcW w:w="3396" w:type="dxa"/>
          </w:tcPr>
          <w:p w:rsidR="009F7881" w:rsidRPr="00B4216D" w:rsidRDefault="009F7881" w:rsidP="003F78FD">
            <w:pPr>
              <w:numPr>
                <w:ilvl w:val="0"/>
                <w:numId w:val="1"/>
              </w:num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  <w:r w:rsidRPr="00B4216D">
              <w:rPr>
                <w:b/>
                <w:sz w:val="24"/>
                <w:szCs w:val="20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1916" w:type="dxa"/>
          </w:tcPr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Затраты на информационные и коммуникационные технологии (миллионов рублей)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Объем услуг связи населению (на душу населения)</w:t>
            </w:r>
          </w:p>
        </w:tc>
      </w:tr>
      <w:tr w:rsidR="009F7881" w:rsidRPr="00B4216D" w:rsidTr="003F78FD">
        <w:trPr>
          <w:trHeight w:val="535"/>
        </w:trPr>
        <w:tc>
          <w:tcPr>
            <w:tcW w:w="3396" w:type="dxa"/>
          </w:tcPr>
          <w:p w:rsidR="009F7881" w:rsidRPr="00B4216D" w:rsidRDefault="009F7881" w:rsidP="003F78FD">
            <w:pPr>
              <w:numPr>
                <w:ilvl w:val="0"/>
                <w:numId w:val="1"/>
              </w:num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  <w:r w:rsidRPr="00B4216D">
              <w:rPr>
                <w:b/>
                <w:sz w:val="24"/>
                <w:szCs w:val="20"/>
                <w:lang w:eastAsia="ru-RU"/>
              </w:rPr>
              <w:t>Сельскохозяйственный потенциал</w:t>
            </w:r>
          </w:p>
          <w:p w:rsidR="009F7881" w:rsidRPr="00B4216D" w:rsidRDefault="009F7881" w:rsidP="003F78FD">
            <w:p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11916" w:type="dxa"/>
          </w:tcPr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Посевные площади всех сельскохозяйственных культур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Продукция сельского хозяйства (в хозяйствах всех категорий)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Рентабельность проданных товаров, продукции (работ, услуг) организаций, осуществляющих деятельность в растениеводстве и животноводст</w:t>
            </w:r>
            <w:r>
              <w:rPr>
                <w:sz w:val="24"/>
                <w:szCs w:val="20"/>
                <w:lang w:eastAsia="ru-RU"/>
              </w:rPr>
              <w:t>в</w:t>
            </w:r>
            <w:r w:rsidRPr="00B4216D">
              <w:rPr>
                <w:sz w:val="24"/>
                <w:szCs w:val="20"/>
                <w:lang w:eastAsia="ru-RU"/>
              </w:rPr>
              <w:t>а</w:t>
            </w:r>
          </w:p>
        </w:tc>
      </w:tr>
      <w:tr w:rsidR="009F7881" w:rsidRPr="00B4216D" w:rsidTr="003F78FD">
        <w:trPr>
          <w:trHeight w:val="535"/>
        </w:trPr>
        <w:tc>
          <w:tcPr>
            <w:tcW w:w="3396" w:type="dxa"/>
          </w:tcPr>
          <w:p w:rsidR="009F7881" w:rsidRPr="00B4216D" w:rsidRDefault="009F7881" w:rsidP="003F78FD">
            <w:pPr>
              <w:numPr>
                <w:ilvl w:val="0"/>
                <w:numId w:val="1"/>
              </w:num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  <w:r w:rsidRPr="00B4216D">
              <w:rPr>
                <w:b/>
                <w:sz w:val="24"/>
                <w:szCs w:val="20"/>
                <w:lang w:eastAsia="ru-RU"/>
              </w:rPr>
              <w:t>Промышленный потенциал</w:t>
            </w:r>
          </w:p>
        </w:tc>
        <w:tc>
          <w:tcPr>
            <w:tcW w:w="11916" w:type="dxa"/>
          </w:tcPr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(вид деятельности – Добыча полезных ископаемых)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(вид деятельности – Обрабатывающая промышленность)</w:t>
            </w:r>
          </w:p>
          <w:p w:rsidR="009F7881" w:rsidRPr="00B4216D" w:rsidRDefault="009F7881" w:rsidP="003F78FD">
            <w:p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</w:p>
        </w:tc>
      </w:tr>
    </w:tbl>
    <w:p w:rsidR="009F7881" w:rsidRDefault="009F7881" w:rsidP="009F7881">
      <w:pPr>
        <w:spacing w:line="240" w:lineRule="auto"/>
        <w:ind w:firstLine="0"/>
        <w:jc w:val="both"/>
        <w:rPr>
          <w:szCs w:val="20"/>
          <w:lang w:eastAsia="ru-RU"/>
        </w:rPr>
      </w:pPr>
      <w:r>
        <w:rPr>
          <w:szCs w:val="20"/>
          <w:lang w:eastAsia="ru-RU"/>
        </w:rPr>
        <w:lastRenderedPageBreak/>
        <w:t xml:space="preserve">Продолжение таблицы </w:t>
      </w:r>
      <w:r w:rsidR="00A51210">
        <w:rPr>
          <w:szCs w:val="20"/>
          <w:lang w:eastAsia="ru-RU"/>
        </w:rPr>
        <w:t>1</w:t>
      </w:r>
      <w:r>
        <w:rPr>
          <w:szCs w:val="20"/>
          <w:lang w:eastAsia="ru-RU"/>
        </w:rPr>
        <w:t>.1</w:t>
      </w:r>
    </w:p>
    <w:tbl>
      <w:tblPr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6"/>
        <w:gridCol w:w="11916"/>
      </w:tblGrid>
      <w:tr w:rsidR="009F7881" w:rsidRPr="00B4216D" w:rsidTr="003F78FD">
        <w:trPr>
          <w:trHeight w:val="535"/>
        </w:trPr>
        <w:tc>
          <w:tcPr>
            <w:tcW w:w="3396" w:type="dxa"/>
          </w:tcPr>
          <w:p w:rsidR="009F7881" w:rsidRPr="00B4216D" w:rsidRDefault="009F7881" w:rsidP="003F78FD">
            <w:pPr>
              <w:tabs>
                <w:tab w:val="left" w:pos="525"/>
              </w:tabs>
              <w:spacing w:line="240" w:lineRule="auto"/>
              <w:ind w:left="284" w:firstLine="0"/>
              <w:jc w:val="both"/>
              <w:rPr>
                <w:b/>
                <w:sz w:val="24"/>
                <w:szCs w:val="20"/>
                <w:lang w:eastAsia="ru-RU"/>
              </w:rPr>
            </w:pPr>
          </w:p>
        </w:tc>
        <w:tc>
          <w:tcPr>
            <w:tcW w:w="11916" w:type="dxa"/>
          </w:tcPr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(вид деятельности – Производство и распределение электроэнергии, газа и воды)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Стоимость основных фондов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Степень износа основных фондов</w:t>
            </w:r>
          </w:p>
        </w:tc>
      </w:tr>
      <w:tr w:rsidR="009F7881" w:rsidRPr="00B4216D" w:rsidTr="003F78FD">
        <w:trPr>
          <w:trHeight w:val="535"/>
        </w:trPr>
        <w:tc>
          <w:tcPr>
            <w:tcW w:w="3396" w:type="dxa"/>
          </w:tcPr>
          <w:p w:rsidR="009F7881" w:rsidRPr="00B4216D" w:rsidRDefault="009F7881" w:rsidP="003F78FD">
            <w:pPr>
              <w:numPr>
                <w:ilvl w:val="0"/>
                <w:numId w:val="1"/>
              </w:num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  <w:r w:rsidRPr="00B4216D">
              <w:rPr>
                <w:b/>
                <w:sz w:val="24"/>
                <w:szCs w:val="20"/>
                <w:lang w:eastAsia="ru-RU"/>
              </w:rPr>
              <w:t>Степень развития энергетического комплекса</w:t>
            </w:r>
          </w:p>
        </w:tc>
        <w:tc>
          <w:tcPr>
            <w:tcW w:w="11916" w:type="dxa"/>
          </w:tcPr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 xml:space="preserve">Производство электроэнергии, Млн. </w:t>
            </w:r>
            <w:proofErr w:type="spellStart"/>
            <w:r w:rsidRPr="00B4216D">
              <w:rPr>
                <w:sz w:val="24"/>
                <w:szCs w:val="20"/>
                <w:lang w:eastAsia="ru-RU"/>
              </w:rPr>
              <w:t>кВт▪</w:t>
            </w:r>
            <w:proofErr w:type="gramStart"/>
            <w:r w:rsidRPr="00B4216D">
              <w:rPr>
                <w:sz w:val="24"/>
                <w:szCs w:val="20"/>
                <w:lang w:eastAsia="ru-RU"/>
              </w:rPr>
              <w:t>ч</w:t>
            </w:r>
            <w:proofErr w:type="spellEnd"/>
            <w:proofErr w:type="gramEnd"/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Мощность электростанций</w:t>
            </w:r>
          </w:p>
        </w:tc>
      </w:tr>
      <w:tr w:rsidR="009F7881" w:rsidRPr="00B4216D" w:rsidTr="003F78FD">
        <w:trPr>
          <w:trHeight w:val="489"/>
        </w:trPr>
        <w:tc>
          <w:tcPr>
            <w:tcW w:w="3396" w:type="dxa"/>
          </w:tcPr>
          <w:p w:rsidR="009F7881" w:rsidRPr="00B4216D" w:rsidRDefault="009F7881" w:rsidP="003F78FD">
            <w:pPr>
              <w:numPr>
                <w:ilvl w:val="0"/>
                <w:numId w:val="1"/>
              </w:num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  <w:r w:rsidRPr="00B4216D">
              <w:rPr>
                <w:b/>
                <w:sz w:val="24"/>
                <w:szCs w:val="20"/>
                <w:lang w:eastAsia="ru-RU"/>
              </w:rPr>
              <w:t>Уровень развития рыночной инфраструктуры</w:t>
            </w:r>
          </w:p>
        </w:tc>
        <w:tc>
          <w:tcPr>
            <w:tcW w:w="11916" w:type="dxa"/>
          </w:tcPr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Оборот малых предприятий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Оборот розничной торговли на душу населения*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Удельный вес убыточных организаций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Объем платных услуг на душу населения</w:t>
            </w:r>
          </w:p>
        </w:tc>
      </w:tr>
      <w:tr w:rsidR="009F7881" w:rsidRPr="00B4216D" w:rsidTr="003F78FD">
        <w:trPr>
          <w:trHeight w:val="489"/>
        </w:trPr>
        <w:tc>
          <w:tcPr>
            <w:tcW w:w="3396" w:type="dxa"/>
          </w:tcPr>
          <w:p w:rsidR="009F7881" w:rsidRPr="00B4216D" w:rsidRDefault="009F7881" w:rsidP="003F78FD">
            <w:pPr>
              <w:numPr>
                <w:ilvl w:val="0"/>
                <w:numId w:val="1"/>
              </w:num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  <w:r w:rsidRPr="00B4216D">
              <w:rPr>
                <w:b/>
                <w:sz w:val="24"/>
                <w:szCs w:val="20"/>
                <w:lang w:eastAsia="ru-RU"/>
              </w:rPr>
              <w:t>Инвестиционная привлекательность</w:t>
            </w:r>
          </w:p>
        </w:tc>
        <w:tc>
          <w:tcPr>
            <w:tcW w:w="11916" w:type="dxa"/>
          </w:tcPr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Инвестиции в основной капитал на душу населения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Иностранные инвестиции</w:t>
            </w:r>
          </w:p>
        </w:tc>
      </w:tr>
      <w:tr w:rsidR="009F7881" w:rsidRPr="00B4216D" w:rsidTr="003F78FD">
        <w:trPr>
          <w:trHeight w:val="483"/>
        </w:trPr>
        <w:tc>
          <w:tcPr>
            <w:tcW w:w="3396" w:type="dxa"/>
          </w:tcPr>
          <w:p w:rsidR="009F7881" w:rsidRPr="00B4216D" w:rsidRDefault="009F7881" w:rsidP="003F78FD">
            <w:pPr>
              <w:numPr>
                <w:ilvl w:val="0"/>
                <w:numId w:val="1"/>
              </w:num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  <w:r w:rsidRPr="00B4216D">
              <w:rPr>
                <w:b/>
                <w:sz w:val="24"/>
                <w:szCs w:val="20"/>
                <w:lang w:eastAsia="ru-RU"/>
              </w:rPr>
              <w:t>Научно-образовательный потенциал</w:t>
            </w:r>
          </w:p>
        </w:tc>
        <w:tc>
          <w:tcPr>
            <w:tcW w:w="11916" w:type="dxa"/>
          </w:tcPr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Выпуск специалистов образовательными учреждениями среднего профессионального образования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Выпуск специалистов образовательными учреждениями высшего профессионального образования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Выпуск квалифицированных рабочих и служащих из образовательных учреждений начального профессионального образования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Внутренние затраты на научные исследования и разработки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Инновационная активность организаций</w:t>
            </w:r>
          </w:p>
        </w:tc>
      </w:tr>
      <w:tr w:rsidR="009F7881" w:rsidRPr="00EB4A70" w:rsidTr="003F78FD">
        <w:trPr>
          <w:trHeight w:val="489"/>
        </w:trPr>
        <w:tc>
          <w:tcPr>
            <w:tcW w:w="3396" w:type="dxa"/>
          </w:tcPr>
          <w:p w:rsidR="009F7881" w:rsidRPr="00B4216D" w:rsidRDefault="009F7881" w:rsidP="003F78FD">
            <w:pPr>
              <w:numPr>
                <w:ilvl w:val="0"/>
                <w:numId w:val="1"/>
              </w:num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  <w:r w:rsidRPr="00B4216D">
              <w:rPr>
                <w:b/>
                <w:sz w:val="24"/>
                <w:szCs w:val="20"/>
                <w:lang w:eastAsia="ru-RU"/>
              </w:rPr>
              <w:t>Криминогенный фактор</w:t>
            </w:r>
          </w:p>
        </w:tc>
        <w:tc>
          <w:tcPr>
            <w:tcW w:w="11916" w:type="dxa"/>
          </w:tcPr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Число зарегистрированных преступлений на 100000 человек населения</w:t>
            </w:r>
          </w:p>
          <w:p w:rsidR="009F7881" w:rsidRPr="00EB4A70" w:rsidRDefault="009F7881" w:rsidP="003F78FD">
            <w:pPr>
              <w:tabs>
                <w:tab w:val="left" w:pos="317"/>
                <w:tab w:val="left" w:pos="459"/>
              </w:tabs>
              <w:spacing w:line="240" w:lineRule="auto"/>
              <w:ind w:left="1069" w:firstLine="0"/>
              <w:jc w:val="both"/>
              <w:rPr>
                <w:color w:val="FF0000"/>
                <w:sz w:val="24"/>
                <w:szCs w:val="20"/>
                <w:lang w:eastAsia="ru-RU"/>
              </w:rPr>
            </w:pPr>
          </w:p>
        </w:tc>
      </w:tr>
      <w:tr w:rsidR="009F7881" w:rsidRPr="00B4216D" w:rsidTr="003F78FD">
        <w:trPr>
          <w:trHeight w:val="489"/>
        </w:trPr>
        <w:tc>
          <w:tcPr>
            <w:tcW w:w="3396" w:type="dxa"/>
          </w:tcPr>
          <w:p w:rsidR="009F7881" w:rsidRPr="00B4216D" w:rsidRDefault="009F7881" w:rsidP="003F78FD">
            <w:pPr>
              <w:numPr>
                <w:ilvl w:val="0"/>
                <w:numId w:val="1"/>
              </w:numPr>
              <w:tabs>
                <w:tab w:val="left" w:pos="525"/>
              </w:tabs>
              <w:spacing w:line="240" w:lineRule="auto"/>
              <w:ind w:left="284" w:hanging="284"/>
              <w:jc w:val="both"/>
              <w:rPr>
                <w:b/>
                <w:sz w:val="24"/>
                <w:szCs w:val="20"/>
                <w:lang w:eastAsia="ru-RU"/>
              </w:rPr>
            </w:pPr>
            <w:r w:rsidRPr="00B4216D">
              <w:rPr>
                <w:b/>
                <w:sz w:val="24"/>
                <w:szCs w:val="20"/>
                <w:lang w:eastAsia="ru-RU"/>
              </w:rPr>
              <w:t>Степень экологического благополучия</w:t>
            </w:r>
          </w:p>
        </w:tc>
        <w:tc>
          <w:tcPr>
            <w:tcW w:w="11916" w:type="dxa"/>
          </w:tcPr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Выбросы загрязняющих веществ в атмосферный воздух, отходящих от стационарных источников</w:t>
            </w:r>
          </w:p>
          <w:p w:rsidR="009F7881" w:rsidRPr="00B4216D" w:rsidRDefault="009F7881" w:rsidP="003F78F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sz w:val="24"/>
                <w:szCs w:val="20"/>
                <w:lang w:eastAsia="ru-RU"/>
              </w:rPr>
            </w:pPr>
            <w:r w:rsidRPr="00B4216D">
              <w:rPr>
                <w:sz w:val="24"/>
                <w:szCs w:val="20"/>
                <w:lang w:eastAsia="ru-RU"/>
              </w:rPr>
              <w:t>Сброс загрязненных сточных вод в поверхностные водные объекты</w:t>
            </w:r>
          </w:p>
        </w:tc>
      </w:tr>
    </w:tbl>
    <w:p w:rsidR="009F7881" w:rsidRPr="009F7881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*Показатель розничного товарооборота на душу населения выполняет двойную функцию: отражает средний уровень индивидуального товарного потребления и в то же время обеспечивает региональную и динамическую сопоставимость товарооборота. Показатели товарооборота и товарооборота на душу населения в распределении по регионам позволяют вывить роль каждого региона в общем рыночном процессе и охарактеризовать межрегиональные различия уровня удовлетворения спроса.</w:t>
      </w:r>
    </w:p>
    <w:p w:rsidR="009F7881" w:rsidRDefault="009F7881" w:rsidP="009F7881">
      <w:pPr>
        <w:jc w:val="both"/>
        <w:rPr>
          <w:szCs w:val="20"/>
          <w:lang w:eastAsia="ru-RU"/>
        </w:rPr>
        <w:sectPr w:rsidR="009F7881" w:rsidSect="009F7881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9F7881" w:rsidRPr="005A769E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lastRenderedPageBreak/>
        <w:t xml:space="preserve">На основании данных, </w:t>
      </w:r>
      <w:r>
        <w:rPr>
          <w:szCs w:val="20"/>
          <w:lang w:eastAsia="ru-RU"/>
        </w:rPr>
        <w:t>раскрывающих характер и динамику индекса социально-экономической привлекательности регионов ПФО</w:t>
      </w:r>
      <w:r w:rsidRPr="006F5833">
        <w:rPr>
          <w:szCs w:val="20"/>
          <w:lang w:eastAsia="ru-RU"/>
        </w:rPr>
        <w:t xml:space="preserve">, осуществлен прогноз </w:t>
      </w:r>
      <w:r>
        <w:rPr>
          <w:szCs w:val="20"/>
          <w:lang w:eastAsia="ru-RU"/>
        </w:rPr>
        <w:t>значений данного индекса</w:t>
      </w:r>
      <w:r w:rsidRPr="006F5833">
        <w:rPr>
          <w:szCs w:val="20"/>
          <w:lang w:eastAsia="ru-RU"/>
        </w:rPr>
        <w:t xml:space="preserve"> на период до 2015 </w:t>
      </w:r>
      <w:r w:rsidRPr="005A769E">
        <w:rPr>
          <w:szCs w:val="20"/>
          <w:lang w:eastAsia="ru-RU"/>
        </w:rPr>
        <w:t xml:space="preserve">года (Таблица </w:t>
      </w:r>
      <w:r w:rsidR="00A51210">
        <w:rPr>
          <w:szCs w:val="20"/>
          <w:lang w:eastAsia="ru-RU"/>
        </w:rPr>
        <w:t>1</w:t>
      </w:r>
      <w:r w:rsidRPr="005A769E">
        <w:rPr>
          <w:szCs w:val="20"/>
          <w:lang w:eastAsia="ru-RU"/>
        </w:rPr>
        <w:t>.</w:t>
      </w:r>
      <w:r w:rsidR="00A51210">
        <w:rPr>
          <w:szCs w:val="20"/>
          <w:lang w:eastAsia="ru-RU"/>
        </w:rPr>
        <w:t>2</w:t>
      </w:r>
      <w:r w:rsidRPr="005A769E">
        <w:rPr>
          <w:szCs w:val="20"/>
          <w:lang w:eastAsia="ru-RU"/>
        </w:rPr>
        <w:t>).</w:t>
      </w:r>
      <w:r w:rsidRPr="006F5833">
        <w:rPr>
          <w:szCs w:val="20"/>
          <w:lang w:eastAsia="ru-RU"/>
        </w:rPr>
        <w:t xml:space="preserve"> В качестве инструментария прогноза, с учетом выбранной гипотезы об инерционном сценарии развития,  был выбран</w:t>
      </w:r>
      <w:r>
        <w:rPr>
          <w:szCs w:val="20"/>
          <w:lang w:eastAsia="ru-RU"/>
        </w:rPr>
        <w:t xml:space="preserve"> </w:t>
      </w:r>
      <w:r w:rsidRPr="006F5833">
        <w:rPr>
          <w:szCs w:val="20"/>
          <w:lang w:eastAsia="ru-RU"/>
        </w:rPr>
        <w:t xml:space="preserve">метод экстраполяции данных. Экстраполяция </w:t>
      </w:r>
      <w:r w:rsidRPr="005A769E">
        <w:rPr>
          <w:szCs w:val="20"/>
          <w:lang w:eastAsia="ru-RU"/>
        </w:rPr>
        <w:t xml:space="preserve">статистических данных выражает условное продолжение тенденций в будущее, </w:t>
      </w:r>
      <w:proofErr w:type="gramStart"/>
      <w:r w:rsidRPr="005A769E">
        <w:rPr>
          <w:szCs w:val="20"/>
          <w:lang w:eastAsia="ru-RU"/>
        </w:rPr>
        <w:t>закономерности</w:t>
      </w:r>
      <w:proofErr w:type="gramEnd"/>
      <w:r w:rsidRPr="005A769E">
        <w:rPr>
          <w:szCs w:val="20"/>
          <w:lang w:eastAsia="ru-RU"/>
        </w:rPr>
        <w:t xml:space="preserve"> развития которых в прошлом и настоящем в достаточной степени хорошо известны.</w:t>
      </w:r>
    </w:p>
    <w:p w:rsidR="009F7881" w:rsidRPr="005A769E" w:rsidRDefault="009F7881" w:rsidP="009F7881">
      <w:pPr>
        <w:jc w:val="both"/>
        <w:rPr>
          <w:szCs w:val="20"/>
          <w:lang w:eastAsia="ru-RU"/>
        </w:rPr>
      </w:pPr>
      <w:r w:rsidRPr="005A769E">
        <w:rPr>
          <w:szCs w:val="20"/>
          <w:lang w:eastAsia="ru-RU"/>
        </w:rPr>
        <w:t>В результате проведения экспериментальных расчетов, направленных на определение наиболее оптимальных экономико-математических моделей, определяющих характер и тенденции развития региональной социально-экономической привлекательности, были построены соответствующие регрессионные модели, отражающие специфические особенности развития каждого региона Приволжского федерального округа (Таблица 4.3).</w:t>
      </w:r>
    </w:p>
    <w:p w:rsidR="009F7881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ind w:firstLine="0"/>
        <w:jc w:val="both"/>
        <w:rPr>
          <w:szCs w:val="20"/>
          <w:lang w:eastAsia="ru-RU"/>
        </w:rPr>
      </w:pPr>
      <w:r w:rsidRPr="005A769E">
        <w:rPr>
          <w:szCs w:val="20"/>
          <w:lang w:eastAsia="ru-RU"/>
        </w:rPr>
        <w:t xml:space="preserve">Таблица </w:t>
      </w:r>
      <w:r w:rsidR="00A51210">
        <w:rPr>
          <w:szCs w:val="20"/>
          <w:lang w:eastAsia="ru-RU"/>
        </w:rPr>
        <w:t>1</w:t>
      </w:r>
      <w:r w:rsidRPr="005A769E">
        <w:rPr>
          <w:szCs w:val="20"/>
          <w:lang w:eastAsia="ru-RU"/>
        </w:rPr>
        <w:t>.</w:t>
      </w:r>
      <w:r w:rsidR="00A51210">
        <w:rPr>
          <w:szCs w:val="20"/>
          <w:lang w:eastAsia="ru-RU"/>
        </w:rPr>
        <w:t>2</w:t>
      </w:r>
      <w:r w:rsidRPr="005A769E">
        <w:rPr>
          <w:szCs w:val="20"/>
          <w:lang w:eastAsia="ru-RU"/>
        </w:rPr>
        <w:t xml:space="preserve"> – Регрес</w:t>
      </w:r>
      <w:r w:rsidRPr="006F5833">
        <w:rPr>
          <w:szCs w:val="20"/>
          <w:lang w:eastAsia="ru-RU"/>
        </w:rPr>
        <w:t>сионные модели, определяющие тенденции развития регионов ПФО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3189"/>
        <w:gridCol w:w="3149"/>
        <w:gridCol w:w="2498"/>
      </w:tblGrid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Регрессионная модель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 xml:space="preserve">Значение коэффициента детерминации, </w:t>
            </w:r>
            <w:r w:rsidRPr="00B4216D">
              <w:rPr>
                <w:sz w:val="24"/>
                <w:szCs w:val="24"/>
                <w:lang w:val="en-US" w:eastAsia="ru-RU"/>
              </w:rPr>
              <w:t>R</w:t>
            </w:r>
            <w:r w:rsidRPr="00B4216D">
              <w:rPr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461,94x</w:t>
            </w:r>
            <w:r w:rsidRPr="00B4216D">
              <w:rPr>
                <w:sz w:val="24"/>
                <w:szCs w:val="24"/>
                <w:vertAlign w:val="superscript"/>
                <w:lang w:val="en-US" w:eastAsia="ru-RU"/>
              </w:rPr>
              <w:t>0,1317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0,9041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12,206x + 292,21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0,9613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18,089x + 312,23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0,9274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523,63x</w:t>
            </w:r>
            <w:r w:rsidRPr="00B4216D">
              <w:rPr>
                <w:sz w:val="24"/>
                <w:szCs w:val="24"/>
                <w:vertAlign w:val="superscript"/>
                <w:lang w:val="en-US" w:eastAsia="ru-RU"/>
              </w:rPr>
              <w:t>0,1952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0,8879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357,17x</w:t>
            </w:r>
            <w:r w:rsidRPr="00B4216D">
              <w:rPr>
                <w:sz w:val="24"/>
                <w:szCs w:val="24"/>
                <w:vertAlign w:val="superscript"/>
                <w:lang w:val="en-US" w:eastAsia="ru-RU"/>
              </w:rPr>
              <w:t>0,1072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0,9487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16,604x + 353,63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0,9227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410,99x</w:t>
            </w:r>
            <w:r w:rsidRPr="00B4216D">
              <w:rPr>
                <w:sz w:val="24"/>
                <w:szCs w:val="24"/>
                <w:vertAlign w:val="superscript"/>
                <w:lang w:val="en-US" w:eastAsia="ru-RU"/>
              </w:rPr>
              <w:t>0,181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0,9401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58,825ln(x) + 285,63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0,9437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456,71x</w:t>
            </w:r>
            <w:r w:rsidRPr="00B4216D">
              <w:rPr>
                <w:sz w:val="24"/>
                <w:szCs w:val="24"/>
                <w:vertAlign w:val="superscript"/>
                <w:lang w:val="en-US" w:eastAsia="ru-RU"/>
              </w:rPr>
              <w:t>0,1464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0,9142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363,28x</w:t>
            </w:r>
            <w:r w:rsidRPr="00B4216D">
              <w:rPr>
                <w:sz w:val="24"/>
                <w:szCs w:val="24"/>
                <w:vertAlign w:val="superscript"/>
                <w:lang w:val="en-US" w:eastAsia="ru-RU"/>
              </w:rPr>
              <w:t>0,1459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0,9424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21,807x + 326,19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0,9699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51,742ln(x) + 569,5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0,5887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497,63x</w:t>
            </w:r>
            <w:r w:rsidRPr="00B4216D">
              <w:rPr>
                <w:sz w:val="24"/>
                <w:szCs w:val="24"/>
                <w:vertAlign w:val="superscript"/>
                <w:lang w:val="en-US" w:eastAsia="ru-RU"/>
              </w:rPr>
              <w:t>0,1169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0,9521</w:t>
            </w:r>
          </w:p>
        </w:tc>
      </w:tr>
      <w:tr w:rsidR="009F7881" w:rsidRPr="00B4216D" w:rsidTr="009F7881">
        <w:tc>
          <w:tcPr>
            <w:tcW w:w="384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6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64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y = 346,7x</w:t>
            </w:r>
            <w:r w:rsidRPr="00B4216D">
              <w:rPr>
                <w:sz w:val="24"/>
                <w:szCs w:val="24"/>
                <w:vertAlign w:val="superscript"/>
                <w:lang w:val="en-US" w:eastAsia="ru-RU"/>
              </w:rPr>
              <w:t>0,1494</w:t>
            </w:r>
          </w:p>
        </w:tc>
        <w:tc>
          <w:tcPr>
            <w:tcW w:w="1305" w:type="pct"/>
            <w:vAlign w:val="center"/>
          </w:tcPr>
          <w:p w:rsidR="009F7881" w:rsidRPr="00B4216D" w:rsidRDefault="009F7881" w:rsidP="009F788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4216D">
              <w:rPr>
                <w:sz w:val="24"/>
                <w:szCs w:val="24"/>
                <w:lang w:val="en-US" w:eastAsia="ru-RU"/>
              </w:rPr>
              <w:t>R² = 0,8547</w:t>
            </w:r>
          </w:p>
        </w:tc>
      </w:tr>
    </w:tbl>
    <w:p w:rsidR="009F7881" w:rsidRPr="006F5833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На основе построенных </w:t>
      </w:r>
      <w:r w:rsidRPr="005A769E">
        <w:rPr>
          <w:szCs w:val="20"/>
          <w:lang w:eastAsia="ru-RU"/>
        </w:rPr>
        <w:t>моделей был построен среднесрочный прогноз до 2015 года динамики развития социально-экономической привлекательности регионов ПФО (</w:t>
      </w:r>
      <w:r w:rsidRPr="002D58D0">
        <w:rPr>
          <w:szCs w:val="20"/>
          <w:lang w:eastAsia="ru-RU"/>
        </w:rPr>
        <w:t xml:space="preserve">Таблица </w:t>
      </w:r>
      <w:r w:rsidR="00A51210">
        <w:rPr>
          <w:szCs w:val="20"/>
          <w:lang w:eastAsia="ru-RU"/>
        </w:rPr>
        <w:t>1</w:t>
      </w:r>
      <w:r w:rsidRPr="005A769E">
        <w:rPr>
          <w:szCs w:val="20"/>
          <w:lang w:eastAsia="ru-RU"/>
        </w:rPr>
        <w:t>.</w:t>
      </w:r>
      <w:r w:rsidR="00A51210">
        <w:rPr>
          <w:szCs w:val="20"/>
          <w:lang w:eastAsia="ru-RU"/>
        </w:rPr>
        <w:t>3</w:t>
      </w:r>
      <w:r w:rsidRPr="005A769E">
        <w:rPr>
          <w:szCs w:val="20"/>
          <w:lang w:eastAsia="ru-RU"/>
        </w:rPr>
        <w:t xml:space="preserve">). </w:t>
      </w:r>
    </w:p>
    <w:p w:rsidR="009F7881" w:rsidRPr="006F5833" w:rsidRDefault="009F7881" w:rsidP="009F7881">
      <w:pPr>
        <w:jc w:val="both"/>
        <w:rPr>
          <w:szCs w:val="20"/>
          <w:lang w:eastAsia="ru-RU"/>
        </w:rPr>
        <w:sectPr w:rsidR="009F7881" w:rsidRPr="006F58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  <w:r w:rsidRPr="005A769E">
        <w:rPr>
          <w:szCs w:val="20"/>
          <w:lang w:eastAsia="ru-RU"/>
        </w:rPr>
        <w:lastRenderedPageBreak/>
        <w:t xml:space="preserve">Таблица </w:t>
      </w:r>
      <w:r w:rsidR="00A51210">
        <w:rPr>
          <w:szCs w:val="20"/>
          <w:lang w:eastAsia="ru-RU"/>
        </w:rPr>
        <w:t>1</w:t>
      </w:r>
      <w:r w:rsidRPr="005A769E">
        <w:rPr>
          <w:szCs w:val="20"/>
          <w:lang w:eastAsia="ru-RU"/>
        </w:rPr>
        <w:t>.</w:t>
      </w:r>
      <w:r w:rsidR="00A51210">
        <w:rPr>
          <w:szCs w:val="20"/>
          <w:lang w:eastAsia="ru-RU"/>
        </w:rPr>
        <w:t>3</w:t>
      </w:r>
      <w:r w:rsidRPr="006F5833">
        <w:rPr>
          <w:szCs w:val="20"/>
          <w:lang w:eastAsia="ru-RU"/>
        </w:rPr>
        <w:t xml:space="preserve"> – Динамика роста значений сводного интегрального индекса социально-экономической привлекательности региона (индекс СЭП)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2"/>
        <w:gridCol w:w="916"/>
        <w:gridCol w:w="916"/>
        <w:gridCol w:w="917"/>
        <w:gridCol w:w="917"/>
        <w:gridCol w:w="917"/>
        <w:gridCol w:w="917"/>
        <w:gridCol w:w="1233"/>
        <w:gridCol w:w="1233"/>
        <w:gridCol w:w="1233"/>
        <w:gridCol w:w="1233"/>
        <w:gridCol w:w="1232"/>
      </w:tblGrid>
      <w:tr w:rsidR="009F7881" w:rsidRPr="00B4216D" w:rsidTr="003F78FD">
        <w:trPr>
          <w:trHeight w:val="300"/>
        </w:trPr>
        <w:tc>
          <w:tcPr>
            <w:tcW w:w="1056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2005</w:t>
            </w:r>
          </w:p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2006</w:t>
            </w:r>
          </w:p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2007</w:t>
            </w:r>
          </w:p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2008</w:t>
            </w:r>
          </w:p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2009</w:t>
            </w:r>
          </w:p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2010</w:t>
            </w:r>
          </w:p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bCs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bCs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bCs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bCs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bCs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462,78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493,12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538,80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582,48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567,83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568,39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596,9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617,0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625,6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633,5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305,97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319,02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328,77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332,33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353,50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370,01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377,7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389,9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414,3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426,5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337,63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339,17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357,77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392,73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412,99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412,97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438,9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456,9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493,1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511,2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541,04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552,79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658,35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718,43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724,56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726,42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765,6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785,8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804,1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836,2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362,40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376,58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397,14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415,97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433,94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429,64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461,9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372,55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372,45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415,02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425,41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437,14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447,89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469,9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519,7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536,3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421,70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444,53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497,11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547,24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541,06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574,44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598,8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611,7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623,5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634,3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279,16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330,63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351,95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381,07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380,99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376,98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400,1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414,9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446,46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523,41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526,65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581,19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576,83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576,20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607,2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619,2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639,8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648,8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372,40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386,89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420,97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446,87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470,70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470,42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500,6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508,3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515,4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356,69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396,39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412,62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435,59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457,91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500,6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522,5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544,3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566,1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553,42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603,80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649,75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685,84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631,98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632,62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670,2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677,1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683,2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688,6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693,6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507,06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524,91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558,32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591,30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606,80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614,70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624,7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634,6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643,4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651,3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658,6</w:t>
            </w:r>
          </w:p>
        </w:tc>
      </w:tr>
      <w:tr w:rsidR="009F7881" w:rsidRPr="00B4216D" w:rsidTr="003F78FD">
        <w:trPr>
          <w:trHeight w:val="300"/>
        </w:trPr>
        <w:tc>
          <w:tcPr>
            <w:tcW w:w="1056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356,84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363,44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399,73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449,87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449,85</w:t>
            </w:r>
          </w:p>
        </w:tc>
        <w:tc>
          <w:tcPr>
            <w:tcW w:w="310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color w:val="000000"/>
                <w:sz w:val="24"/>
                <w:szCs w:val="24"/>
                <w:lang w:eastAsia="ru-RU"/>
              </w:rPr>
              <w:t>442,23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463,7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417" w:type="pct"/>
            <w:noWrap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496,1</w:t>
            </w:r>
          </w:p>
        </w:tc>
      </w:tr>
    </w:tbl>
    <w:p w:rsidR="009F7881" w:rsidRPr="006F5833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jc w:val="both"/>
        <w:rPr>
          <w:szCs w:val="20"/>
          <w:lang w:eastAsia="ru-RU"/>
        </w:rPr>
        <w:sectPr w:rsidR="009F7881" w:rsidRPr="006F5833" w:rsidSect="006F583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lastRenderedPageBreak/>
        <w:t xml:space="preserve">Представленные в таблице </w:t>
      </w:r>
      <w:r w:rsidR="00A51210">
        <w:rPr>
          <w:szCs w:val="20"/>
          <w:lang w:eastAsia="ru-RU"/>
        </w:rPr>
        <w:t>1</w:t>
      </w:r>
      <w:r>
        <w:rPr>
          <w:szCs w:val="20"/>
          <w:lang w:eastAsia="ru-RU"/>
        </w:rPr>
        <w:t>.</w:t>
      </w:r>
      <w:r w:rsidR="00A51210">
        <w:rPr>
          <w:szCs w:val="20"/>
          <w:lang w:eastAsia="ru-RU"/>
        </w:rPr>
        <w:t>3</w:t>
      </w:r>
      <w:r w:rsidRPr="006F5833">
        <w:rPr>
          <w:szCs w:val="20"/>
          <w:lang w:eastAsia="ru-RU"/>
        </w:rPr>
        <w:t xml:space="preserve"> расчетные данные демонстрируют поступательный положительный тренд социально-экономической привлекательности абсолютно по всем регионам Приволжского федерального округа на перспективу до 2015 года. Вместе с тем, интересным в аналитическом плане представляется то, что значения рейтингов подвергаются изменениям. Причем данные изменения характерны, преимущественно, для регионов с более низкими значениями индекса социально-экономической привлекательности. Еще одной интересной особен</w:t>
      </w:r>
      <w:r>
        <w:rPr>
          <w:szCs w:val="20"/>
          <w:lang w:eastAsia="ru-RU"/>
        </w:rPr>
        <w:t>ностью является то, что регионы-</w:t>
      </w:r>
      <w:r w:rsidRPr="006F5833">
        <w:rPr>
          <w:szCs w:val="20"/>
          <w:lang w:eastAsia="ru-RU"/>
        </w:rPr>
        <w:t>лидеры в оцениваемом прогнозируемом периоде демонстрируют, в целом, более низкий уровень динамики роста индекса СЭП относительно регионов-аутсайдеров. К примеру, наиболее высокий уровень динамики роста индекса СЭП прогнозируется у Пензенской области (4,33%) и Республики Мордовия (4,37%). В то же время динамика социально-экономического развития в Самарской област</w:t>
      </w:r>
      <w:r>
        <w:rPr>
          <w:szCs w:val="20"/>
          <w:lang w:eastAsia="ru-RU"/>
        </w:rPr>
        <w:t>и оценивается на уровне в 1,88%</w:t>
      </w:r>
      <w:r w:rsidRPr="006F5833">
        <w:rPr>
          <w:szCs w:val="20"/>
          <w:lang w:eastAsia="ru-RU"/>
        </w:rPr>
        <w:t>, а в Саратовской и вовсе</w:t>
      </w:r>
      <w:r>
        <w:rPr>
          <w:szCs w:val="20"/>
          <w:lang w:eastAsia="ru-RU"/>
        </w:rPr>
        <w:t xml:space="preserve"> -</w:t>
      </w:r>
      <w:r w:rsidRPr="006F5833">
        <w:rPr>
          <w:szCs w:val="20"/>
          <w:lang w:eastAsia="ru-RU"/>
        </w:rPr>
        <w:t xml:space="preserve"> 1,39%. </w:t>
      </w:r>
    </w:p>
    <w:p w:rsidR="009F7881" w:rsidRPr="006F5833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По всей видимости, такие различия в динамике роста индекса СЭП</w:t>
      </w:r>
      <w:r>
        <w:rPr>
          <w:szCs w:val="20"/>
          <w:lang w:eastAsia="ru-RU"/>
        </w:rPr>
        <w:t xml:space="preserve"> </w:t>
      </w:r>
      <w:r w:rsidRPr="006F5833">
        <w:rPr>
          <w:szCs w:val="20"/>
          <w:lang w:eastAsia="ru-RU"/>
        </w:rPr>
        <w:t>обусловлены эффектом высокой базы в наиболее развитых</w:t>
      </w:r>
      <w:r>
        <w:rPr>
          <w:szCs w:val="20"/>
          <w:lang w:eastAsia="ru-RU"/>
        </w:rPr>
        <w:t>,</w:t>
      </w:r>
      <w:r w:rsidRPr="006F5833">
        <w:rPr>
          <w:szCs w:val="20"/>
          <w:lang w:eastAsia="ru-RU"/>
        </w:rPr>
        <w:t xml:space="preserve"> в социально</w:t>
      </w:r>
      <w:r>
        <w:rPr>
          <w:szCs w:val="20"/>
          <w:lang w:eastAsia="ru-RU"/>
        </w:rPr>
        <w:t>-экономическом отношении, регионах</w:t>
      </w:r>
      <w:r w:rsidRPr="006F5833">
        <w:rPr>
          <w:szCs w:val="20"/>
          <w:lang w:eastAsia="ru-RU"/>
        </w:rPr>
        <w:t xml:space="preserve"> ПФО. В связи с этим абсолютно логичным представляется наличие у данных регионов более низких значений динамики роста. И наоборот, менее развитые в социально-экономическом плане регионы должны демонстрировать на фоне низких базовых значений основных факторов производства более высокие темпы развития. Однако данная гипотеза находит свое подтверждение только лишь для регионов–лидеров.</w:t>
      </w:r>
    </w:p>
    <w:p w:rsidR="009F7881" w:rsidRPr="006F5833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Как </w:t>
      </w:r>
      <w:r w:rsidRPr="005A769E">
        <w:rPr>
          <w:szCs w:val="20"/>
          <w:lang w:eastAsia="ru-RU"/>
        </w:rPr>
        <w:t xml:space="preserve">видно из таблицы </w:t>
      </w:r>
      <w:r w:rsidR="00A51210">
        <w:rPr>
          <w:szCs w:val="20"/>
          <w:lang w:eastAsia="ru-RU"/>
        </w:rPr>
        <w:t>1</w:t>
      </w:r>
      <w:r w:rsidRPr="005A769E">
        <w:rPr>
          <w:szCs w:val="20"/>
          <w:lang w:eastAsia="ru-RU"/>
        </w:rPr>
        <w:t>.</w:t>
      </w:r>
      <w:r w:rsidR="00A51210">
        <w:rPr>
          <w:szCs w:val="20"/>
          <w:lang w:eastAsia="ru-RU"/>
        </w:rPr>
        <w:t>4</w:t>
      </w:r>
      <w:r w:rsidRPr="005A769E">
        <w:rPr>
          <w:szCs w:val="20"/>
          <w:lang w:eastAsia="ru-RU"/>
        </w:rPr>
        <w:t xml:space="preserve"> регионы–аутсайдеры показывают разнонаправленность динамики роста индекса</w:t>
      </w:r>
      <w:r w:rsidRPr="006F5833">
        <w:rPr>
          <w:szCs w:val="20"/>
          <w:lang w:eastAsia="ru-RU"/>
        </w:rPr>
        <w:t xml:space="preserve"> СЭП. Так, например, несмотря на упомянутые ранее регионы с высоким уровнем динамики роста индекса СЭП (Пензенская область, Республика Мордовия)</w:t>
      </w:r>
      <w:r>
        <w:rPr>
          <w:szCs w:val="20"/>
          <w:lang w:eastAsia="ru-RU"/>
        </w:rPr>
        <w:t>,</w:t>
      </w:r>
      <w:r w:rsidRPr="006F5833">
        <w:rPr>
          <w:szCs w:val="20"/>
          <w:lang w:eastAsia="ru-RU"/>
        </w:rPr>
        <w:t xml:space="preserve"> все остальные регионы из нижней части рейтинговой таблицы демонстрируют достаточно низкие </w:t>
      </w:r>
      <w:r w:rsidRPr="006F5833">
        <w:rPr>
          <w:szCs w:val="20"/>
          <w:lang w:eastAsia="ru-RU"/>
        </w:rPr>
        <w:lastRenderedPageBreak/>
        <w:t xml:space="preserve">значения роста. </w:t>
      </w:r>
      <w:proofErr w:type="gramStart"/>
      <w:r w:rsidRPr="006F5833">
        <w:rPr>
          <w:szCs w:val="20"/>
          <w:lang w:eastAsia="ru-RU"/>
        </w:rPr>
        <w:t>Несомненно, данное обстоятельство в значительной степени будет еще более ограничивать конкурентоспособность таких регионов в долгосрочной перспективе (к рассматриваемой группе регионов относятся:</w:t>
      </w:r>
      <w:proofErr w:type="gramEnd"/>
      <w:r w:rsidRPr="006F5833">
        <w:rPr>
          <w:szCs w:val="20"/>
          <w:lang w:eastAsia="ru-RU"/>
        </w:rPr>
        <w:t xml:space="preserve"> </w:t>
      </w:r>
      <w:proofErr w:type="gramStart"/>
      <w:r w:rsidRPr="006F5833">
        <w:rPr>
          <w:szCs w:val="20"/>
          <w:lang w:eastAsia="ru-RU"/>
        </w:rPr>
        <w:t xml:space="preserve">Ульяновская область, Удмуртская Республика, Кировская область и Республика Марий Эл). </w:t>
      </w:r>
      <w:proofErr w:type="gramEnd"/>
    </w:p>
    <w:p w:rsidR="009F7881" w:rsidRPr="006F5833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В группе регионов-лидеров также наблюдаются разнонаправленные тенденции развития социально-экономической привлекательности. Несмотря на схожую динамику роста индекса СЭП, все же наиболее низкие значения у таких регионов ПФО, как Самарская и Саратовская области. Это может свидетельствовать о том, что в долгосрочной перспективе данные регионы могут ослабить свои позиции в рейтинге социально-экономической привлекательности. </w:t>
      </w:r>
    </w:p>
    <w:p w:rsidR="009F7881" w:rsidRPr="006F5833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ind w:firstLine="0"/>
        <w:jc w:val="both"/>
        <w:rPr>
          <w:szCs w:val="20"/>
          <w:lang w:eastAsia="ru-RU"/>
        </w:rPr>
      </w:pPr>
      <w:r w:rsidRPr="005A769E">
        <w:rPr>
          <w:szCs w:val="20"/>
          <w:lang w:eastAsia="ru-RU"/>
        </w:rPr>
        <w:t xml:space="preserve">Таблица </w:t>
      </w:r>
      <w:r w:rsidR="00A51210">
        <w:rPr>
          <w:szCs w:val="20"/>
          <w:lang w:eastAsia="ru-RU"/>
        </w:rPr>
        <w:t>1</w:t>
      </w:r>
      <w:r w:rsidRPr="005A769E">
        <w:rPr>
          <w:szCs w:val="20"/>
          <w:lang w:eastAsia="ru-RU"/>
        </w:rPr>
        <w:t>.</w:t>
      </w:r>
      <w:r w:rsidR="00A51210">
        <w:rPr>
          <w:szCs w:val="20"/>
          <w:lang w:eastAsia="ru-RU"/>
        </w:rPr>
        <w:t>4</w:t>
      </w:r>
      <w:r w:rsidRPr="006F5833">
        <w:rPr>
          <w:szCs w:val="20"/>
          <w:lang w:eastAsia="ru-RU"/>
        </w:rPr>
        <w:t xml:space="preserve"> – Динамика рейтинга регионов ПФО по уровню развития социально-экономической привлекательности</w:t>
      </w:r>
    </w:p>
    <w:tbl>
      <w:tblPr>
        <w:tblW w:w="4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7"/>
        <w:gridCol w:w="1017"/>
        <w:gridCol w:w="1094"/>
        <w:gridCol w:w="1663"/>
        <w:gridCol w:w="2164"/>
      </w:tblGrid>
      <w:tr w:rsidR="009F7881" w:rsidRPr="00B4216D" w:rsidTr="003F78FD">
        <w:trPr>
          <w:trHeight w:val="610"/>
          <w:jc w:val="center"/>
        </w:trPr>
        <w:tc>
          <w:tcPr>
            <w:tcW w:w="1647" w:type="pct"/>
          </w:tcPr>
          <w:p w:rsidR="009F7881" w:rsidRPr="006F5833" w:rsidRDefault="009F7881" w:rsidP="003F78FD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noWrap/>
            <w:vAlign w:val="center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18" w:type="pct"/>
            <w:noWrap/>
            <w:vAlign w:val="center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39" w:type="pct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Изменение значения рейтинга</w:t>
            </w:r>
          </w:p>
        </w:tc>
        <w:tc>
          <w:tcPr>
            <w:tcW w:w="1222" w:type="pct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 xml:space="preserve">Средний уровень темпов прироста индекса СЭП, </w:t>
            </w:r>
            <w:proofErr w:type="gramStart"/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F5833">
              <w:rPr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31750</wp:posOffset>
                      </wp:positionV>
                      <wp:extent cx="180340" cy="116840"/>
                      <wp:effectExtent l="0" t="0" r="10160" b="16510"/>
                      <wp:wrapNone/>
                      <wp:docPr id="260" name="Блок-схема: узел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168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60" o:spid="_x0000_s1026" type="#_x0000_t120" style="position:absolute;margin-left:42.2pt;margin-top:2.5pt;width:14.2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" fillcolor="#ffc000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5715</wp:posOffset>
                      </wp:positionV>
                      <wp:extent cx="180340" cy="116840"/>
                      <wp:effectExtent l="0" t="0" r="10160" b="16510"/>
                      <wp:wrapNone/>
                      <wp:docPr id="261" name="Блок-схема: узел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168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61" o:spid="_x0000_s1026" type="#_x0000_t120" style="position:absolute;margin-left:42.1pt;margin-top:.45pt;width:14.2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" fillcolor="#ffc000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22860</wp:posOffset>
                      </wp:positionV>
                      <wp:extent cx="180340" cy="116840"/>
                      <wp:effectExtent l="0" t="0" r="10160" b="16510"/>
                      <wp:wrapNone/>
                      <wp:docPr id="262" name="Блок-схема: узел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168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62" o:spid="_x0000_s1026" type="#_x0000_t120" style="position:absolute;margin-left:43.4pt;margin-top:1.8pt;width:14.2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" fillcolor="#ffc000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1,39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-12700</wp:posOffset>
                      </wp:positionV>
                      <wp:extent cx="180340" cy="116840"/>
                      <wp:effectExtent l="0" t="0" r="10160" b="16510"/>
                      <wp:wrapNone/>
                      <wp:docPr id="263" name="Блок-схема: узел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168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63" o:spid="_x0000_s1026" type="#_x0000_t120" style="position:absolute;margin-left:44.6pt;margin-top:-1pt;width:14.2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" fillcolor="#ffc000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2,41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17780</wp:posOffset>
                      </wp:positionV>
                      <wp:extent cx="180340" cy="116840"/>
                      <wp:effectExtent l="0" t="0" r="10160" b="16510"/>
                      <wp:wrapNone/>
                      <wp:docPr id="227" name="Блок-схема: узел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168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27" o:spid="_x0000_s1026" type="#_x0000_t120" style="position:absolute;margin-left:42.05pt;margin-top:1.4pt;width:14.2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" fillcolor="#ffc000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108585</wp:posOffset>
                      </wp:positionV>
                      <wp:extent cx="180340" cy="116840"/>
                      <wp:effectExtent l="0" t="0" r="10160" b="16510"/>
                      <wp:wrapNone/>
                      <wp:docPr id="228" name="Блок-схема: узел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168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28" o:spid="_x0000_s1026" type="#_x0000_t120" style="position:absolute;margin-left:43.25pt;margin-top:8.55pt;width:14.2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" fillcolor="#ffc000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2,20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-12700</wp:posOffset>
                      </wp:positionV>
                      <wp:extent cx="180340" cy="169545"/>
                      <wp:effectExtent l="0" t="0" r="10160" b="20955"/>
                      <wp:wrapNone/>
                      <wp:docPr id="264" name="Блок-схема: объединение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6954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264" o:spid="_x0000_s1026" type="#_x0000_t128" style="position:absolute;margin-left:40.9pt;margin-top:-1pt;width:14.2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" fillcolor="re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52070</wp:posOffset>
                      </wp:positionV>
                      <wp:extent cx="169545" cy="95250"/>
                      <wp:effectExtent l="0" t="0" r="20955" b="19050"/>
                      <wp:wrapNone/>
                      <wp:docPr id="267" name="Блок-схема: извлечение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9525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267" o:spid="_x0000_s1026" type="#_x0000_t127" style="position:absolute;margin-left:43.65pt;margin-top:4.1pt;width:13.3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" fillcolor="#00b050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33020</wp:posOffset>
                      </wp:positionV>
                      <wp:extent cx="169545" cy="95250"/>
                      <wp:effectExtent l="0" t="0" r="20955" b="19050"/>
                      <wp:wrapNone/>
                      <wp:docPr id="266" name="Блок-схема: извлечение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9525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извлечение 266" o:spid="_x0000_s1026" type="#_x0000_t127" style="position:absolute;margin-left:41pt;margin-top:2.6pt;width:13.3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" fillcolor="#00b050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3,67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24765</wp:posOffset>
                      </wp:positionV>
                      <wp:extent cx="180340" cy="169545"/>
                      <wp:effectExtent l="0" t="0" r="10160" b="20955"/>
                      <wp:wrapNone/>
                      <wp:docPr id="268" name="Блок-схема: объединение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6954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объединение 268" o:spid="_x0000_s1026" type="#_x0000_t128" style="position:absolute;margin-left:42.4pt;margin-top:1.95pt;width:14.2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" fillcolor="re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14605</wp:posOffset>
                      </wp:positionV>
                      <wp:extent cx="180340" cy="169545"/>
                      <wp:effectExtent l="0" t="0" r="10160" b="20955"/>
                      <wp:wrapNone/>
                      <wp:docPr id="270" name="Блок-схема: объединение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6954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объединение 270" o:spid="_x0000_s1026" type="#_x0000_t128" style="position:absolute;margin-left:42.3pt;margin-top:1.15pt;width:14.2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" fillcolor="re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1,46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27305</wp:posOffset>
                      </wp:positionV>
                      <wp:extent cx="169545" cy="95250"/>
                      <wp:effectExtent l="0" t="0" r="20955" b="19050"/>
                      <wp:wrapNone/>
                      <wp:docPr id="271" name="Блок-схема: извлечение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9545" cy="9525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извлечение 271" o:spid="_x0000_s1026" type="#_x0000_t127" style="position:absolute;margin-left:41.55pt;margin-top:2.15pt;width:13.3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" fillcolor="#00b050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4,37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17780</wp:posOffset>
                      </wp:positionV>
                      <wp:extent cx="180340" cy="116840"/>
                      <wp:effectExtent l="0" t="0" r="10160" b="16510"/>
                      <wp:wrapNone/>
                      <wp:docPr id="229" name="Блок-схема: узел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168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29" o:spid="_x0000_s1026" type="#_x0000_t120" style="position:absolute;margin-left:40.3pt;margin-top:1.4pt;width:14.2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" fillcolor="#ffc000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2,52</w:t>
            </w:r>
          </w:p>
        </w:tc>
      </w:tr>
      <w:tr w:rsidR="009F7881" w:rsidRPr="00B4216D" w:rsidTr="003F78FD">
        <w:trPr>
          <w:trHeight w:val="300"/>
          <w:jc w:val="center"/>
        </w:trPr>
        <w:tc>
          <w:tcPr>
            <w:tcW w:w="1647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574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" w:type="pct"/>
            <w:noWrap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9" w:type="pct"/>
            <w:vAlign w:val="bottom"/>
          </w:tcPr>
          <w:p w:rsidR="009F7881" w:rsidRPr="006F5833" w:rsidRDefault="009F7881" w:rsidP="003F78FD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28575</wp:posOffset>
                      </wp:positionV>
                      <wp:extent cx="180340" cy="116840"/>
                      <wp:effectExtent l="0" t="0" r="10160" b="16510"/>
                      <wp:wrapNone/>
                      <wp:docPr id="273" name="Блок-схема: узел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340" cy="1168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73" o:spid="_x0000_s1026" type="#_x0000_t120" style="position:absolute;margin-left:37.35pt;margin-top:2.25pt;width:14.2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" fillcolor="#ffc000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222" w:type="pct"/>
            <w:vAlign w:val="bottom"/>
          </w:tcPr>
          <w:p w:rsidR="009F7881" w:rsidRPr="00B4216D" w:rsidRDefault="009F7881" w:rsidP="003F78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4216D">
              <w:rPr>
                <w:color w:val="000000"/>
                <w:sz w:val="24"/>
                <w:szCs w:val="24"/>
                <w:lang w:eastAsia="ru-RU"/>
              </w:rPr>
              <w:t>2,88</w:t>
            </w:r>
          </w:p>
        </w:tc>
      </w:tr>
    </w:tbl>
    <w:p w:rsidR="009F7881" w:rsidRPr="006F5833" w:rsidRDefault="009F7881" w:rsidP="009F7881">
      <w:pPr>
        <w:jc w:val="both"/>
        <w:rPr>
          <w:szCs w:val="20"/>
          <w:lang w:eastAsia="ru-RU"/>
        </w:rPr>
      </w:pPr>
    </w:p>
    <w:p w:rsidR="009F7881" w:rsidRPr="00F27C55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Наглядно основные </w:t>
      </w:r>
      <w:r w:rsidRPr="00F27C55">
        <w:rPr>
          <w:szCs w:val="20"/>
          <w:lang w:eastAsia="ru-RU"/>
        </w:rPr>
        <w:t xml:space="preserve">тенденции в развитии регионов Приволжского федерального округа можно увидеть на рисунке </w:t>
      </w:r>
      <w:r w:rsidR="00A51210">
        <w:rPr>
          <w:szCs w:val="20"/>
          <w:lang w:eastAsia="ru-RU"/>
        </w:rPr>
        <w:t>1.</w:t>
      </w:r>
    </w:p>
    <w:p w:rsidR="00A51210" w:rsidRDefault="00A51210" w:rsidP="009F7881">
      <w:pPr>
        <w:ind w:firstLine="0"/>
        <w:jc w:val="both"/>
        <w:rPr>
          <w:szCs w:val="20"/>
          <w:lang w:eastAsia="ru-RU"/>
        </w:rPr>
      </w:pPr>
      <w:r>
        <w:rPr>
          <w:noProof/>
          <w:szCs w:val="20"/>
          <w:lang w:eastAsia="ru-RU"/>
        </w:rPr>
        <w:lastRenderedPageBreak/>
        <w:drawing>
          <wp:inline distT="0" distB="0" distL="0" distR="0">
            <wp:extent cx="5178425" cy="62687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62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81" w:rsidRPr="00F27C55" w:rsidRDefault="009F7881" w:rsidP="009F7881">
      <w:pPr>
        <w:ind w:firstLine="0"/>
        <w:jc w:val="both"/>
        <w:rPr>
          <w:szCs w:val="20"/>
          <w:lang w:eastAsia="ru-RU"/>
        </w:rPr>
      </w:pPr>
      <w:r w:rsidRPr="00F27C55">
        <w:rPr>
          <w:szCs w:val="20"/>
          <w:lang w:eastAsia="ru-RU"/>
        </w:rPr>
        <w:t xml:space="preserve">Рисунок </w:t>
      </w:r>
      <w:r w:rsidR="00A51210">
        <w:rPr>
          <w:szCs w:val="20"/>
          <w:lang w:eastAsia="ru-RU"/>
        </w:rPr>
        <w:t>1</w:t>
      </w:r>
      <w:r w:rsidRPr="00F27C55">
        <w:rPr>
          <w:szCs w:val="20"/>
          <w:lang w:eastAsia="ru-RU"/>
        </w:rPr>
        <w:t xml:space="preserve"> – Позиционирование регионов по уровню социально – экономического развития (размер пузырька показывает средний уровень темпов прироста индекса СЭП, в %), 201</w:t>
      </w:r>
      <w:r>
        <w:rPr>
          <w:szCs w:val="20"/>
          <w:lang w:eastAsia="ru-RU"/>
        </w:rPr>
        <w:t>0</w:t>
      </w:r>
      <w:r w:rsidRPr="00F27C55">
        <w:rPr>
          <w:szCs w:val="20"/>
          <w:lang w:eastAsia="ru-RU"/>
        </w:rPr>
        <w:t xml:space="preserve"> год</w:t>
      </w:r>
    </w:p>
    <w:p w:rsidR="009F7881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Представленные в пузырьковой диаграмме данные подтверждают ранее упомянутые предположения о наличии в условных дву</w:t>
      </w:r>
      <w:r>
        <w:rPr>
          <w:szCs w:val="20"/>
          <w:lang w:eastAsia="ru-RU"/>
        </w:rPr>
        <w:t>х группах регионов ПФО (регионы</w:t>
      </w:r>
      <w:r w:rsidRPr="006F5833">
        <w:rPr>
          <w:szCs w:val="20"/>
          <w:lang w:eastAsia="ru-RU"/>
        </w:rPr>
        <w:t>–лидеры и регионы-аутсайдеры) значительной дифференциации в прогнозируемых темпах роста индекса СЭ</w:t>
      </w:r>
      <w:r>
        <w:rPr>
          <w:szCs w:val="20"/>
          <w:lang w:eastAsia="ru-RU"/>
        </w:rPr>
        <w:t>П</w:t>
      </w:r>
      <w:r w:rsidRPr="006F5833">
        <w:rPr>
          <w:szCs w:val="20"/>
          <w:lang w:eastAsia="ru-RU"/>
        </w:rPr>
        <w:t xml:space="preserve">. Наиболее большой диаметр пузырьков, характеризующих темпы прироста индекса </w:t>
      </w:r>
      <w:r w:rsidRPr="006F5833">
        <w:rPr>
          <w:szCs w:val="20"/>
          <w:lang w:eastAsia="ru-RU"/>
        </w:rPr>
        <w:lastRenderedPageBreak/>
        <w:t>СЭП, демонстрируют Пензенская область, Республика Мордовия, Чувашская Республика и Республика Татарстан.</w:t>
      </w:r>
    </w:p>
    <w:p w:rsidR="009F7881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Ожидается, что к 2015 году за счет более быстрой динамики развития индекса СЭП дифференциация между </w:t>
      </w:r>
      <w:r w:rsidRPr="00F27C55">
        <w:rPr>
          <w:szCs w:val="20"/>
          <w:lang w:eastAsia="ru-RU"/>
        </w:rPr>
        <w:t xml:space="preserve">двумя рассматриваемыми группами регионов ПФО будет смягчаться (Рисунок </w:t>
      </w:r>
      <w:r w:rsidR="00A51210">
        <w:rPr>
          <w:szCs w:val="20"/>
          <w:lang w:eastAsia="ru-RU"/>
        </w:rPr>
        <w:t>2</w:t>
      </w:r>
      <w:r w:rsidRPr="00F27C55">
        <w:rPr>
          <w:szCs w:val="20"/>
          <w:lang w:eastAsia="ru-RU"/>
        </w:rPr>
        <w:t>). Конечно</w:t>
      </w:r>
      <w:r w:rsidRPr="006F5833">
        <w:rPr>
          <w:szCs w:val="20"/>
          <w:lang w:eastAsia="ru-RU"/>
        </w:rPr>
        <w:t xml:space="preserve"> же, регионы</w:t>
      </w:r>
      <w:r>
        <w:rPr>
          <w:szCs w:val="20"/>
          <w:lang w:eastAsia="ru-RU"/>
        </w:rPr>
        <w:t>-</w:t>
      </w:r>
      <w:r w:rsidRPr="006F5833">
        <w:rPr>
          <w:szCs w:val="20"/>
          <w:lang w:eastAsia="ru-RU"/>
        </w:rPr>
        <w:t xml:space="preserve">аутсайдеры не смогут добиться значений, характеризующих социально-экономическую привлекательность, присущую регионам–лидерам. Однако тенденция сближения регионов по рассматриваемому интегральному индексу СЭП имеет место быть в случае инерционности развития социальных и </w:t>
      </w:r>
      <w:proofErr w:type="gramStart"/>
      <w:r w:rsidRPr="006F5833">
        <w:rPr>
          <w:szCs w:val="20"/>
          <w:lang w:eastAsia="ru-RU"/>
        </w:rPr>
        <w:t>экономических процессов</w:t>
      </w:r>
      <w:proofErr w:type="gramEnd"/>
      <w:r w:rsidRPr="006F5833">
        <w:rPr>
          <w:szCs w:val="20"/>
          <w:lang w:eastAsia="ru-RU"/>
        </w:rPr>
        <w:t>, протекающих в Приволжском федеральном округе.</w:t>
      </w:r>
    </w:p>
    <w:p w:rsidR="009F7881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 xml:space="preserve">В среднесрочной перспективе следует ожидать изменения занимаемых позиций в рейтинге социально-экономической привлекательности регионов ПФО. К 2015г. Республика Татарстан не только сохранит свои позиции, но и в значительной степени укрепит свое стратегическое лидерство (индекс СЭП составит 836,2 баллов из 1200 возможных). При этом отрыв от ближайшего «преследователя» </w:t>
      </w:r>
      <w:r>
        <w:rPr>
          <w:szCs w:val="20"/>
          <w:lang w:eastAsia="ru-RU"/>
        </w:rPr>
        <w:t xml:space="preserve">- </w:t>
      </w:r>
      <w:r w:rsidRPr="006F5833">
        <w:rPr>
          <w:szCs w:val="20"/>
          <w:lang w:eastAsia="ru-RU"/>
        </w:rPr>
        <w:t xml:space="preserve">Самарской области </w:t>
      </w:r>
      <w:r>
        <w:rPr>
          <w:szCs w:val="20"/>
          <w:lang w:eastAsia="ru-RU"/>
        </w:rPr>
        <w:t xml:space="preserve">- </w:t>
      </w:r>
      <w:r w:rsidRPr="006F5833">
        <w:rPr>
          <w:szCs w:val="20"/>
          <w:lang w:eastAsia="ru-RU"/>
        </w:rPr>
        <w:t>составит около 140 баллов. Изменение позиций для остальной пятерки лидеров не ожидается.</w:t>
      </w:r>
    </w:p>
    <w:p w:rsidR="009F7881" w:rsidRDefault="009F7881" w:rsidP="009F7881">
      <w:pPr>
        <w:jc w:val="both"/>
        <w:rPr>
          <w:szCs w:val="20"/>
          <w:lang w:eastAsia="ru-RU"/>
        </w:rPr>
      </w:pPr>
    </w:p>
    <w:p w:rsidR="009F7881" w:rsidRDefault="009F7881" w:rsidP="009F7881">
      <w:pPr>
        <w:jc w:val="both"/>
        <w:rPr>
          <w:szCs w:val="20"/>
          <w:lang w:eastAsia="ru-RU"/>
        </w:rPr>
      </w:pPr>
    </w:p>
    <w:p w:rsidR="009F7881" w:rsidRDefault="009F7881" w:rsidP="009F7881">
      <w:pPr>
        <w:jc w:val="both"/>
        <w:rPr>
          <w:szCs w:val="20"/>
          <w:lang w:eastAsia="ru-RU"/>
        </w:rPr>
      </w:pPr>
    </w:p>
    <w:p w:rsidR="009F7881" w:rsidRDefault="009F7881" w:rsidP="009F7881">
      <w:pPr>
        <w:jc w:val="both"/>
        <w:rPr>
          <w:szCs w:val="20"/>
          <w:lang w:eastAsia="ru-RU"/>
        </w:rPr>
      </w:pPr>
    </w:p>
    <w:p w:rsidR="009F7881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ind w:firstLine="0"/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</w:p>
    <w:p w:rsidR="00A51210" w:rsidRDefault="00A51210" w:rsidP="009F7881">
      <w:pPr>
        <w:jc w:val="both"/>
        <w:rPr>
          <w:szCs w:val="20"/>
          <w:lang w:eastAsia="ru-RU"/>
        </w:rPr>
      </w:pPr>
    </w:p>
    <w:p w:rsidR="00A51210" w:rsidRDefault="00A51210" w:rsidP="00A51210">
      <w:pPr>
        <w:ind w:firstLine="0"/>
        <w:jc w:val="both"/>
        <w:rPr>
          <w:szCs w:val="20"/>
          <w:lang w:eastAsia="ru-RU"/>
        </w:rPr>
      </w:pPr>
      <w:bookmarkStart w:id="0" w:name="_GoBack"/>
      <w:r>
        <w:rPr>
          <w:noProof/>
          <w:szCs w:val="20"/>
          <w:lang w:eastAsia="ru-RU"/>
        </w:rPr>
        <w:lastRenderedPageBreak/>
        <w:drawing>
          <wp:inline distT="0" distB="0" distL="0" distR="0">
            <wp:extent cx="5758961" cy="6277708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71" cy="6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7881" w:rsidRPr="00F27C55" w:rsidRDefault="009F7881" w:rsidP="009F7881">
      <w:pPr>
        <w:jc w:val="both"/>
        <w:rPr>
          <w:szCs w:val="20"/>
          <w:lang w:eastAsia="ru-RU"/>
        </w:rPr>
      </w:pPr>
      <w:r w:rsidRPr="00F27C55">
        <w:rPr>
          <w:szCs w:val="20"/>
          <w:lang w:eastAsia="ru-RU"/>
        </w:rPr>
        <w:t xml:space="preserve">Рисунок </w:t>
      </w:r>
      <w:r w:rsidR="00A51210">
        <w:rPr>
          <w:szCs w:val="20"/>
          <w:lang w:eastAsia="ru-RU"/>
        </w:rPr>
        <w:t>2</w:t>
      </w:r>
      <w:r w:rsidRPr="00F27C55">
        <w:rPr>
          <w:szCs w:val="20"/>
          <w:lang w:eastAsia="ru-RU"/>
        </w:rPr>
        <w:t xml:space="preserve"> – Позиционирование регионов по уровню социально – экономического развития (размер пузырька показывает средний уровень темпов прироста индекса СЭП, в %), 2015 год</w:t>
      </w:r>
    </w:p>
    <w:p w:rsidR="009F7881" w:rsidRPr="006F5833" w:rsidRDefault="009F7881" w:rsidP="009F7881">
      <w:pPr>
        <w:jc w:val="both"/>
        <w:rPr>
          <w:szCs w:val="20"/>
          <w:lang w:eastAsia="ru-RU"/>
        </w:rPr>
      </w:pPr>
    </w:p>
    <w:p w:rsidR="009F7881" w:rsidRPr="006F5833" w:rsidRDefault="009F7881" w:rsidP="009F7881">
      <w:pPr>
        <w:jc w:val="both"/>
        <w:rPr>
          <w:szCs w:val="20"/>
          <w:lang w:eastAsia="ru-RU"/>
        </w:rPr>
      </w:pPr>
      <w:r w:rsidRPr="006F5833">
        <w:rPr>
          <w:szCs w:val="20"/>
          <w:lang w:eastAsia="ru-RU"/>
        </w:rPr>
        <w:t>Вместе с тем изменения будут происходить во второй группе регионов, условно отнесенных к аутсайдерам. Прогнозируется, что Пензенская область и Чувашская республика могут вплотную приблизит</w:t>
      </w:r>
      <w:r>
        <w:rPr>
          <w:szCs w:val="20"/>
          <w:lang w:eastAsia="ru-RU"/>
        </w:rPr>
        <w:t>ь</w:t>
      </w:r>
      <w:r w:rsidRPr="006F5833">
        <w:rPr>
          <w:szCs w:val="20"/>
          <w:lang w:eastAsia="ru-RU"/>
        </w:rPr>
        <w:t>ся по уровню индекса СЭП к группе регионов-лидеров. Кроме того</w:t>
      </w:r>
      <w:r>
        <w:rPr>
          <w:szCs w:val="20"/>
          <w:lang w:eastAsia="ru-RU"/>
        </w:rPr>
        <w:t>,</w:t>
      </w:r>
      <w:r w:rsidRPr="006F5833">
        <w:rPr>
          <w:szCs w:val="20"/>
          <w:lang w:eastAsia="ru-RU"/>
        </w:rPr>
        <w:t xml:space="preserve"> в регионах второй группы ожидается повышение социально-экономической привлекательности также и </w:t>
      </w:r>
      <w:r w:rsidRPr="006F5833">
        <w:rPr>
          <w:szCs w:val="20"/>
          <w:lang w:eastAsia="ru-RU"/>
        </w:rPr>
        <w:lastRenderedPageBreak/>
        <w:t>в Республике Мордовия. В трех регионах ПФО рейтинг социально-экономической привлекательности снизится:</w:t>
      </w:r>
      <w:r>
        <w:rPr>
          <w:szCs w:val="20"/>
          <w:lang w:eastAsia="ru-RU"/>
        </w:rPr>
        <w:t xml:space="preserve"> в</w:t>
      </w:r>
      <w:r w:rsidRPr="006F5833">
        <w:rPr>
          <w:szCs w:val="20"/>
          <w:lang w:eastAsia="ru-RU"/>
        </w:rPr>
        <w:t xml:space="preserve"> Оренбургск</w:t>
      </w:r>
      <w:r>
        <w:rPr>
          <w:szCs w:val="20"/>
          <w:lang w:eastAsia="ru-RU"/>
        </w:rPr>
        <w:t>ой</w:t>
      </w:r>
      <w:r w:rsidRPr="006F5833">
        <w:rPr>
          <w:szCs w:val="20"/>
          <w:lang w:eastAsia="ru-RU"/>
        </w:rPr>
        <w:t xml:space="preserve"> област</w:t>
      </w:r>
      <w:r>
        <w:rPr>
          <w:szCs w:val="20"/>
          <w:lang w:eastAsia="ru-RU"/>
        </w:rPr>
        <w:t>и</w:t>
      </w:r>
      <w:r w:rsidRPr="006F5833">
        <w:rPr>
          <w:szCs w:val="20"/>
          <w:lang w:eastAsia="ru-RU"/>
        </w:rPr>
        <w:t>, Ульяновск</w:t>
      </w:r>
      <w:r>
        <w:rPr>
          <w:szCs w:val="20"/>
          <w:lang w:eastAsia="ru-RU"/>
        </w:rPr>
        <w:t>ой</w:t>
      </w:r>
      <w:r w:rsidRPr="006F5833">
        <w:rPr>
          <w:szCs w:val="20"/>
          <w:lang w:eastAsia="ru-RU"/>
        </w:rPr>
        <w:t xml:space="preserve"> област</w:t>
      </w:r>
      <w:r>
        <w:rPr>
          <w:szCs w:val="20"/>
          <w:lang w:eastAsia="ru-RU"/>
        </w:rPr>
        <w:t>и</w:t>
      </w:r>
      <w:r w:rsidRPr="006F5833">
        <w:rPr>
          <w:szCs w:val="20"/>
          <w:lang w:eastAsia="ru-RU"/>
        </w:rPr>
        <w:t xml:space="preserve"> и Удмуртск</w:t>
      </w:r>
      <w:r>
        <w:rPr>
          <w:szCs w:val="20"/>
          <w:lang w:eastAsia="ru-RU"/>
        </w:rPr>
        <w:t>ой</w:t>
      </w:r>
      <w:r w:rsidRPr="006F5833">
        <w:rPr>
          <w:szCs w:val="20"/>
          <w:lang w:eastAsia="ru-RU"/>
        </w:rPr>
        <w:t xml:space="preserve"> Республик</w:t>
      </w:r>
      <w:r>
        <w:rPr>
          <w:szCs w:val="20"/>
          <w:lang w:eastAsia="ru-RU"/>
        </w:rPr>
        <w:t>е</w:t>
      </w:r>
      <w:r w:rsidRPr="006F5833">
        <w:rPr>
          <w:szCs w:val="20"/>
          <w:lang w:eastAsia="ru-RU"/>
        </w:rPr>
        <w:t xml:space="preserve">. И это </w:t>
      </w:r>
      <w:r>
        <w:rPr>
          <w:szCs w:val="20"/>
          <w:lang w:eastAsia="ru-RU"/>
        </w:rPr>
        <w:t>не</w:t>
      </w:r>
      <w:r w:rsidRPr="006F5833">
        <w:rPr>
          <w:szCs w:val="20"/>
          <w:lang w:eastAsia="ru-RU"/>
        </w:rPr>
        <w:t>смотря на то, что абсолютные значения индекса СЭП в рассматриваемых регионах повысятся. Однако динамика такого роста будет демонстрировать более низкие темпы, чем в целом по другим регионам Приволжского федерального округа.</w:t>
      </w:r>
    </w:p>
    <w:p w:rsidR="00754823" w:rsidRDefault="00754823"/>
    <w:sectPr w:rsidR="0075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81" w:rsidRDefault="009F78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1210">
      <w:rPr>
        <w:noProof/>
      </w:rPr>
      <w:t>1</w:t>
    </w:r>
    <w:r>
      <w:fldChar w:fldCharType="end"/>
    </w:r>
  </w:p>
  <w:p w:rsidR="009F7881" w:rsidRDefault="009F78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60C"/>
    <w:multiLevelType w:val="hybridMultilevel"/>
    <w:tmpl w:val="DA242618"/>
    <w:lvl w:ilvl="0" w:tplc="6B5ACE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35078"/>
    <w:multiLevelType w:val="hybridMultilevel"/>
    <w:tmpl w:val="05889470"/>
    <w:lvl w:ilvl="0" w:tplc="C44E9C9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ED0467"/>
    <w:multiLevelType w:val="hybridMultilevel"/>
    <w:tmpl w:val="F4B42750"/>
    <w:lvl w:ilvl="0" w:tplc="A636E9C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81"/>
    <w:rsid w:val="00754823"/>
    <w:rsid w:val="009F7881"/>
    <w:rsid w:val="00A5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8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78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881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8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78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881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CPEI</Company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2</cp:revision>
  <dcterms:created xsi:type="dcterms:W3CDTF">2013-03-14T04:11:00Z</dcterms:created>
  <dcterms:modified xsi:type="dcterms:W3CDTF">2013-03-14T04:20:00Z</dcterms:modified>
</cp:coreProperties>
</file>